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FE" w:rsidRDefault="00860FFE" w:rsidP="00060F64">
      <w:pPr>
        <w:rPr>
          <w:rFonts w:cs="Arial"/>
        </w:rPr>
      </w:pPr>
    </w:p>
    <w:p w:rsidR="00860FFE" w:rsidRPr="008A70B6" w:rsidRDefault="00860FFE" w:rsidP="00860FFE">
      <w:pPr>
        <w:pStyle w:val="Heading1"/>
      </w:pPr>
      <w:r w:rsidRPr="008A70B6">
        <w:t>English 1143: Academic Research and Writing</w:t>
      </w:r>
    </w:p>
    <w:p w:rsidR="00860FFE" w:rsidRPr="008A70B6" w:rsidRDefault="00860FFE" w:rsidP="00860FFE">
      <w:pPr>
        <w:jc w:val="center"/>
        <w:rPr>
          <w:rFonts w:cs="Arial"/>
        </w:rPr>
      </w:pPr>
      <w:r w:rsidRPr="00860FFE">
        <w:rPr>
          <w:b/>
        </w:rPr>
        <w:t>(</w:t>
      </w:r>
      <w:r w:rsidR="008361C5">
        <w:rPr>
          <w:b/>
        </w:rPr>
        <w:t>Writing and the Environment</w:t>
      </w:r>
      <w:r w:rsidRPr="00860FFE">
        <w:rPr>
          <w:b/>
        </w:rPr>
        <w:t>)</w:t>
      </w:r>
      <w:r w:rsidRPr="00860FFE">
        <w:rPr>
          <w:b/>
        </w:rPr>
        <w:br/>
      </w:r>
      <w:r w:rsidR="00AB36DD" w:rsidRPr="00EF5766">
        <w:rPr>
          <w:rFonts w:cs="Arial"/>
        </w:rPr>
        <w:t>Spring</w:t>
      </w:r>
      <w:r w:rsidR="008B145E" w:rsidRPr="00EF5766">
        <w:rPr>
          <w:rFonts w:cs="Arial"/>
        </w:rPr>
        <w:t xml:space="preserve"> 202</w:t>
      </w:r>
      <w:r w:rsidR="00AB36DD" w:rsidRPr="00EF5766">
        <w:rPr>
          <w:rFonts w:cs="Arial"/>
        </w:rPr>
        <w:t>1</w:t>
      </w:r>
      <w:r w:rsidR="008361C5" w:rsidRPr="00EF5766">
        <w:rPr>
          <w:rFonts w:cs="Arial"/>
        </w:rPr>
        <w:t xml:space="preserve"> (Online)</w:t>
      </w:r>
    </w:p>
    <w:p w:rsidR="00860FFE" w:rsidRDefault="00860FFE" w:rsidP="00060F64">
      <w:pPr>
        <w:rPr>
          <w:rFonts w:cs="Arial"/>
        </w:rPr>
      </w:pPr>
    </w:p>
    <w:p w:rsidR="00060F64" w:rsidRPr="008A70B6" w:rsidRDefault="00060F64" w:rsidP="00860FFE">
      <w:r w:rsidRPr="008A70B6">
        <w:t>Professor Todd Giles</w:t>
      </w:r>
    </w:p>
    <w:p w:rsidR="00060F64" w:rsidRPr="008A70B6" w:rsidRDefault="00060F64" w:rsidP="00860FFE">
      <w:r w:rsidRPr="008A70B6">
        <w:t>Bea Wood 232</w:t>
      </w:r>
    </w:p>
    <w:p w:rsidR="00060F64" w:rsidRPr="0035070C" w:rsidRDefault="00060F64" w:rsidP="00860FFE">
      <w:r w:rsidRPr="0035070C">
        <w:t>todd.giles@mwsu.edu</w:t>
      </w:r>
    </w:p>
    <w:p w:rsidR="00B415E3" w:rsidRDefault="00565B29" w:rsidP="00840B56">
      <w:r>
        <w:t>Office Hours</w:t>
      </w:r>
      <w:r w:rsidR="00AB36DD">
        <w:t>: Zoom</w:t>
      </w:r>
      <w:r>
        <w:t xml:space="preserve"> by appointment</w:t>
      </w:r>
    </w:p>
    <w:p w:rsidR="00B415E3" w:rsidRDefault="00B415E3" w:rsidP="00840B56"/>
    <w:p w:rsidR="00B415E3" w:rsidRPr="00D95E23" w:rsidRDefault="00B415E3" w:rsidP="00B415E3">
      <w:pPr>
        <w:jc w:val="center"/>
        <w:rPr>
          <w:rFonts w:cs="Arial"/>
          <w:b/>
        </w:rPr>
      </w:pPr>
      <w:r w:rsidRPr="00D95E23">
        <w:rPr>
          <w:rFonts w:cs="Arial"/>
          <w:b/>
        </w:rPr>
        <w:t>“The things taught in colleges and schools are not an education, but the means of education.”</w:t>
      </w:r>
    </w:p>
    <w:p w:rsidR="00B415E3" w:rsidRDefault="00B415E3" w:rsidP="00B415E3">
      <w:pPr>
        <w:jc w:val="center"/>
        <w:rPr>
          <w:rFonts w:cs="Arial"/>
        </w:rPr>
      </w:pPr>
      <w:r>
        <w:rPr>
          <w:rFonts w:cs="Arial"/>
        </w:rPr>
        <w:t>Ralph Waldo Emerson</w:t>
      </w:r>
    </w:p>
    <w:p w:rsidR="00B415E3" w:rsidRDefault="00B415E3" w:rsidP="00B415E3">
      <w:pPr>
        <w:jc w:val="center"/>
        <w:rPr>
          <w:rFonts w:cs="Arial"/>
        </w:rPr>
      </w:pPr>
    </w:p>
    <w:p w:rsidR="00B415E3" w:rsidRPr="00D95E23" w:rsidRDefault="00B415E3" w:rsidP="00B415E3">
      <w:pPr>
        <w:jc w:val="center"/>
        <w:rPr>
          <w:rFonts w:cs="Arial"/>
          <w:b/>
        </w:rPr>
      </w:pPr>
      <w:r w:rsidRPr="00D95E23">
        <w:rPr>
          <w:rFonts w:cs="Arial"/>
          <w:b/>
        </w:rPr>
        <w:t>“It is only when we forget our learning that we begin to know.”</w:t>
      </w:r>
    </w:p>
    <w:p w:rsidR="00B415E3" w:rsidRDefault="00B415E3" w:rsidP="00B415E3">
      <w:pPr>
        <w:jc w:val="center"/>
        <w:rPr>
          <w:rFonts w:cs="Arial"/>
        </w:rPr>
      </w:pPr>
      <w:r>
        <w:rPr>
          <w:rFonts w:cs="Arial"/>
        </w:rPr>
        <w:t>Henry David Thoreau</w:t>
      </w:r>
    </w:p>
    <w:p w:rsidR="00B415E3" w:rsidRDefault="00B415E3" w:rsidP="00B415E3">
      <w:pPr>
        <w:rPr>
          <w:rFonts w:cs="Arial"/>
          <w:b/>
        </w:rPr>
      </w:pPr>
    </w:p>
    <w:p w:rsidR="00F11922" w:rsidRDefault="00F11922" w:rsidP="00B415E3">
      <w:pPr>
        <w:rPr>
          <w:rFonts w:cs="Arial"/>
          <w:b/>
        </w:rPr>
      </w:pPr>
    </w:p>
    <w:p w:rsidR="000D29C8" w:rsidRPr="008A70B6" w:rsidRDefault="00E72466" w:rsidP="00860FFE">
      <w:pPr>
        <w:pStyle w:val="Heading2"/>
      </w:pPr>
      <w:r w:rsidRPr="008A70B6">
        <w:t xml:space="preserve">Required </w:t>
      </w:r>
      <w:r>
        <w:t>T</w:t>
      </w:r>
      <w:r w:rsidRPr="008A70B6">
        <w:t>exts</w:t>
      </w:r>
    </w:p>
    <w:p w:rsidR="00814838" w:rsidRPr="0035070C" w:rsidRDefault="00814838" w:rsidP="00814838">
      <w:pPr>
        <w:numPr>
          <w:ilvl w:val="0"/>
          <w:numId w:val="5"/>
        </w:numPr>
        <w:rPr>
          <w:rFonts w:cs="Arial"/>
        </w:rPr>
      </w:pPr>
      <w:r w:rsidRPr="0035070C">
        <w:rPr>
          <w:rFonts w:cs="Arial"/>
          <w:i/>
        </w:rPr>
        <w:t>The Little Seagull Handbook</w:t>
      </w:r>
      <w:r w:rsidRPr="0035070C">
        <w:rPr>
          <w:rFonts w:cs="Arial"/>
        </w:rPr>
        <w:t>. W.W. Norton, 2017.</w:t>
      </w:r>
      <w:r>
        <w:rPr>
          <w:rFonts w:cs="Arial"/>
        </w:rPr>
        <w:t xml:space="preserve"> (978039360647)</w:t>
      </w:r>
    </w:p>
    <w:p w:rsidR="00814838" w:rsidRPr="0035070C" w:rsidRDefault="00814838" w:rsidP="00814838">
      <w:pPr>
        <w:numPr>
          <w:ilvl w:val="0"/>
          <w:numId w:val="5"/>
        </w:numPr>
        <w:rPr>
          <w:rFonts w:cs="Arial"/>
        </w:rPr>
      </w:pPr>
      <w:r w:rsidRPr="0035070C">
        <w:rPr>
          <w:rFonts w:cs="Arial"/>
        </w:rPr>
        <w:t>Hallowell and Levy</w:t>
      </w:r>
      <w:r>
        <w:rPr>
          <w:rFonts w:cs="Arial"/>
        </w:rPr>
        <w:t>,</w:t>
      </w:r>
      <w:r w:rsidRPr="0035070C">
        <w:rPr>
          <w:rStyle w:val="apple-style-span"/>
          <w:rFonts w:cs="Arial"/>
          <w:color w:val="000000"/>
        </w:rPr>
        <w:t xml:space="preserve"> </w:t>
      </w:r>
      <w:r w:rsidRPr="0035070C">
        <w:rPr>
          <w:rStyle w:val="apple-style-span"/>
          <w:rFonts w:cs="Arial"/>
          <w:i/>
          <w:color w:val="000000"/>
        </w:rPr>
        <w:t>Listening to the Earth</w:t>
      </w:r>
      <w:r w:rsidRPr="0035070C">
        <w:rPr>
          <w:rFonts w:cs="Arial"/>
        </w:rPr>
        <w:t xml:space="preserve">. </w:t>
      </w:r>
      <w:smartTag w:uri="urn:schemas-microsoft-com:office:smarttags" w:element="State">
        <w:smartTag w:uri="urn:schemas-microsoft-com:office:smarttags" w:element="place">
          <w:r w:rsidRPr="0035070C">
            <w:rPr>
              <w:rFonts w:cs="Arial"/>
            </w:rPr>
            <w:t>New York</w:t>
          </w:r>
        </w:smartTag>
      </w:smartTag>
      <w:r w:rsidRPr="0035070C">
        <w:rPr>
          <w:rFonts w:cs="Arial"/>
        </w:rPr>
        <w:t>: Pearson, 2005. (9780321195159)</w:t>
      </w:r>
    </w:p>
    <w:p w:rsidR="00814838" w:rsidRPr="007B5C07" w:rsidRDefault="00814838" w:rsidP="00814838">
      <w:pPr>
        <w:numPr>
          <w:ilvl w:val="0"/>
          <w:numId w:val="5"/>
        </w:numPr>
      </w:pPr>
      <w:r w:rsidRPr="002633C1">
        <w:t>Aldo Leopold</w:t>
      </w:r>
      <w:r w:rsidRPr="002633C1">
        <w:rPr>
          <w:i/>
        </w:rPr>
        <w:t>, A Sand County Almanac</w:t>
      </w:r>
      <w:r w:rsidRPr="002633C1">
        <w:t>.</w:t>
      </w:r>
      <w:r w:rsidRPr="007B5C07">
        <w:t xml:space="preserve"> Oxford UP, 1968. (9780195007770)</w:t>
      </w:r>
    </w:p>
    <w:p w:rsidR="00EE4460" w:rsidRPr="007B5C07" w:rsidRDefault="00EE4460" w:rsidP="00954563">
      <w:pPr>
        <w:ind w:left="720"/>
      </w:pPr>
    </w:p>
    <w:p w:rsidR="000D29C8" w:rsidRPr="008A70B6" w:rsidRDefault="00E72466" w:rsidP="00860FFE">
      <w:pPr>
        <w:pStyle w:val="Heading2"/>
      </w:pPr>
      <w:r w:rsidRPr="008A70B6">
        <w:t xml:space="preserve">Course </w:t>
      </w:r>
      <w:r>
        <w:t>D</w:t>
      </w:r>
      <w:r w:rsidRPr="008A70B6">
        <w:t>escription</w:t>
      </w:r>
    </w:p>
    <w:p w:rsidR="00E25A1F" w:rsidRPr="008A70B6" w:rsidRDefault="006A64F6" w:rsidP="006A64F6">
      <w:pPr>
        <w:rPr>
          <w:rFonts w:cs="Arial"/>
        </w:rPr>
      </w:pPr>
      <w:r w:rsidRPr="008A70B6">
        <w:rPr>
          <w:rFonts w:cs="Arial"/>
        </w:rPr>
        <w:t xml:space="preserve">Using </w:t>
      </w:r>
      <w:r w:rsidR="00650B6C">
        <w:rPr>
          <w:rFonts w:cs="Arial"/>
        </w:rPr>
        <w:t xml:space="preserve">a diverse array of </w:t>
      </w:r>
      <w:r w:rsidRPr="008A70B6">
        <w:rPr>
          <w:rFonts w:cs="Arial"/>
        </w:rPr>
        <w:t>environmental</w:t>
      </w:r>
      <w:r w:rsidR="005955B9" w:rsidRPr="008A70B6">
        <w:rPr>
          <w:rFonts w:cs="Arial"/>
        </w:rPr>
        <w:t>ly-centered</w:t>
      </w:r>
      <w:r w:rsidRPr="008A70B6">
        <w:rPr>
          <w:rFonts w:cs="Arial"/>
        </w:rPr>
        <w:t xml:space="preserve"> writing as a catalyst for improving our own critical</w:t>
      </w:r>
      <w:r w:rsidR="00EE4460">
        <w:rPr>
          <w:rFonts w:cs="Arial"/>
        </w:rPr>
        <w:t xml:space="preserve"> thinking,</w:t>
      </w:r>
      <w:r w:rsidRPr="008A70B6">
        <w:rPr>
          <w:rFonts w:cs="Arial"/>
        </w:rPr>
        <w:t xml:space="preserve"> reading and writing skills, we will explore how language affects the construction and shaping of our concepts of place, identity, ideology, culture, and the environment. By the end of </w:t>
      </w:r>
      <w:r w:rsidR="00EE4460">
        <w:rPr>
          <w:rFonts w:cs="Arial"/>
        </w:rPr>
        <w:t>this course</w:t>
      </w:r>
      <w:r w:rsidR="005955B9" w:rsidRPr="008A70B6">
        <w:rPr>
          <w:rFonts w:cs="Arial"/>
        </w:rPr>
        <w:t xml:space="preserve"> you will have</w:t>
      </w:r>
      <w:r w:rsidRPr="008A70B6">
        <w:rPr>
          <w:rFonts w:cs="Arial"/>
        </w:rPr>
        <w:t xml:space="preserve"> a more sophisticated understanding of the complex web of social, personal, and rhetorical processes that make up written discourse. </w:t>
      </w:r>
      <w:r w:rsidR="005955B9" w:rsidRPr="008A70B6">
        <w:rPr>
          <w:rFonts w:cs="Arial"/>
        </w:rPr>
        <w:t>Along the way</w:t>
      </w:r>
      <w:r w:rsidR="00E25A1F" w:rsidRPr="008A70B6">
        <w:rPr>
          <w:rFonts w:cs="Arial"/>
        </w:rPr>
        <w:t xml:space="preserve">, we will </w:t>
      </w:r>
    </w:p>
    <w:p w:rsidR="00D5566F" w:rsidRPr="00D5566F" w:rsidRDefault="00D5566F" w:rsidP="00D5566F">
      <w:pPr>
        <w:pStyle w:val="ListParagraph"/>
        <w:numPr>
          <w:ilvl w:val="0"/>
          <w:numId w:val="14"/>
        </w:numPr>
        <w:spacing w:after="120" w:line="240" w:lineRule="auto"/>
        <w:contextualSpacing/>
        <w:rPr>
          <w:rFonts w:ascii="Arial" w:hAnsi="Arial" w:cs="Arial"/>
          <w:bCs/>
          <w:sz w:val="24"/>
          <w:szCs w:val="24"/>
        </w:rPr>
      </w:pPr>
      <w:r w:rsidRPr="00D5566F">
        <w:rPr>
          <w:rFonts w:ascii="Arial" w:hAnsi="Arial" w:cs="Arial"/>
          <w:bCs/>
          <w:sz w:val="24"/>
          <w:szCs w:val="24"/>
        </w:rPr>
        <w:t>Apply knowledge of rhetoric to make decisions about written communication</w:t>
      </w:r>
    </w:p>
    <w:p w:rsidR="00D5566F" w:rsidRPr="00D5566F" w:rsidRDefault="00D5566F" w:rsidP="00D5566F">
      <w:pPr>
        <w:pStyle w:val="ListParagraph"/>
        <w:numPr>
          <w:ilvl w:val="0"/>
          <w:numId w:val="14"/>
        </w:numPr>
        <w:spacing w:after="120" w:line="240" w:lineRule="auto"/>
        <w:contextualSpacing/>
        <w:rPr>
          <w:rFonts w:ascii="Arial" w:hAnsi="Arial" w:cs="Arial"/>
          <w:bCs/>
          <w:sz w:val="24"/>
          <w:szCs w:val="24"/>
        </w:rPr>
      </w:pPr>
      <w:r w:rsidRPr="00D5566F">
        <w:rPr>
          <w:rFonts w:ascii="Arial" w:hAnsi="Arial" w:cs="Arial"/>
          <w:bCs/>
          <w:sz w:val="24"/>
          <w:szCs w:val="24"/>
        </w:rPr>
        <w:t>Engage in a writing process that includes invention, drafting, and revision</w:t>
      </w:r>
    </w:p>
    <w:p w:rsidR="00D5566F" w:rsidRPr="00D5566F" w:rsidRDefault="00D5566F" w:rsidP="00D5566F">
      <w:pPr>
        <w:pStyle w:val="ListParagraph"/>
        <w:numPr>
          <w:ilvl w:val="0"/>
          <w:numId w:val="14"/>
        </w:numPr>
        <w:spacing w:after="120" w:line="240" w:lineRule="auto"/>
        <w:contextualSpacing/>
        <w:rPr>
          <w:rFonts w:ascii="Arial" w:hAnsi="Arial" w:cs="Arial"/>
          <w:bCs/>
          <w:sz w:val="24"/>
          <w:szCs w:val="24"/>
        </w:rPr>
      </w:pPr>
      <w:r w:rsidRPr="00D5566F">
        <w:rPr>
          <w:rFonts w:ascii="Arial" w:hAnsi="Arial" w:cs="Arial"/>
          <w:bCs/>
          <w:sz w:val="24"/>
          <w:szCs w:val="24"/>
        </w:rPr>
        <w:t>Write thesis-based academic arguments that provide strong support and specific details</w:t>
      </w:r>
    </w:p>
    <w:p w:rsidR="00D5566F" w:rsidRPr="00D5566F" w:rsidRDefault="00D5566F" w:rsidP="00D5566F">
      <w:pPr>
        <w:pStyle w:val="ListParagraph"/>
        <w:numPr>
          <w:ilvl w:val="0"/>
          <w:numId w:val="14"/>
        </w:numPr>
        <w:spacing w:after="120" w:line="240" w:lineRule="auto"/>
        <w:contextualSpacing/>
        <w:rPr>
          <w:rFonts w:ascii="Arial" w:hAnsi="Arial" w:cs="Arial"/>
          <w:bCs/>
          <w:sz w:val="24"/>
          <w:szCs w:val="24"/>
        </w:rPr>
      </w:pPr>
      <w:r w:rsidRPr="00D5566F">
        <w:rPr>
          <w:rFonts w:ascii="Arial" w:hAnsi="Arial" w:cs="Arial"/>
          <w:bCs/>
          <w:sz w:val="24"/>
          <w:szCs w:val="24"/>
        </w:rPr>
        <w:t>Find, evaluate, and synthesize credible sources in support of a research paper</w:t>
      </w:r>
    </w:p>
    <w:p w:rsidR="00D5566F" w:rsidRPr="00D5566F" w:rsidRDefault="00D5566F" w:rsidP="00D5566F">
      <w:pPr>
        <w:pStyle w:val="ListParagraph"/>
        <w:numPr>
          <w:ilvl w:val="0"/>
          <w:numId w:val="14"/>
        </w:numPr>
        <w:spacing w:after="120" w:line="240" w:lineRule="auto"/>
        <w:contextualSpacing/>
        <w:rPr>
          <w:rFonts w:ascii="Arial" w:hAnsi="Arial" w:cs="Arial"/>
          <w:bCs/>
          <w:sz w:val="24"/>
          <w:szCs w:val="24"/>
        </w:rPr>
      </w:pPr>
      <w:r w:rsidRPr="00D5566F">
        <w:rPr>
          <w:rFonts w:ascii="Arial" w:hAnsi="Arial" w:cs="Arial"/>
          <w:bCs/>
          <w:sz w:val="24"/>
          <w:szCs w:val="24"/>
        </w:rPr>
        <w:t xml:space="preserve">Use sources ethically and in contextually appropriate ways and follow a designated style guide </w:t>
      </w:r>
    </w:p>
    <w:p w:rsidR="00D5566F" w:rsidRPr="00D5566F" w:rsidRDefault="00D5566F" w:rsidP="00D5566F">
      <w:pPr>
        <w:pStyle w:val="ListParagraph"/>
        <w:widowControl w:val="0"/>
        <w:numPr>
          <w:ilvl w:val="0"/>
          <w:numId w:val="14"/>
        </w:numPr>
        <w:autoSpaceDE w:val="0"/>
        <w:autoSpaceDN w:val="0"/>
        <w:adjustRightInd w:val="0"/>
        <w:spacing w:after="120"/>
        <w:contextualSpacing/>
        <w:rPr>
          <w:rFonts w:ascii="Arial" w:hAnsi="Arial" w:cs="Arial"/>
          <w:bCs/>
          <w:sz w:val="24"/>
          <w:szCs w:val="24"/>
        </w:rPr>
      </w:pPr>
      <w:r w:rsidRPr="00D5566F">
        <w:rPr>
          <w:rFonts w:ascii="Arial" w:hAnsi="Arial" w:cs="Arial"/>
          <w:bCs/>
          <w:sz w:val="24"/>
          <w:szCs w:val="24"/>
        </w:rPr>
        <w:t>Demonstrate proficient use of Standard Written English</w:t>
      </w:r>
    </w:p>
    <w:p w:rsidR="00D5566F" w:rsidRPr="00D5566F" w:rsidRDefault="00D5566F" w:rsidP="00D5566F">
      <w:pPr>
        <w:pStyle w:val="ListParagraph"/>
        <w:widowControl w:val="0"/>
        <w:numPr>
          <w:ilvl w:val="0"/>
          <w:numId w:val="14"/>
        </w:numPr>
        <w:autoSpaceDE w:val="0"/>
        <w:autoSpaceDN w:val="0"/>
        <w:adjustRightInd w:val="0"/>
        <w:spacing w:after="120"/>
        <w:contextualSpacing/>
        <w:rPr>
          <w:rFonts w:ascii="Arial" w:hAnsi="Arial" w:cs="Arial"/>
          <w:bCs/>
          <w:sz w:val="24"/>
          <w:szCs w:val="24"/>
        </w:rPr>
      </w:pPr>
      <w:r w:rsidRPr="00D5566F">
        <w:rPr>
          <w:rFonts w:ascii="Arial" w:hAnsi="Arial" w:cs="Arial"/>
          <w:bCs/>
          <w:sz w:val="24"/>
          <w:szCs w:val="24"/>
        </w:rPr>
        <w:t>Additional information about course objectives can be found on the department webpage, https://msutexas.edu/academics/libarts/english/index.php</w:t>
      </w:r>
    </w:p>
    <w:p w:rsidR="00707AC1" w:rsidRDefault="00707AC1" w:rsidP="001332AE">
      <w:pPr>
        <w:rPr>
          <w:b/>
        </w:rPr>
      </w:pPr>
    </w:p>
    <w:p w:rsidR="008361C5" w:rsidRDefault="008361C5" w:rsidP="001332AE">
      <w:pPr>
        <w:rPr>
          <w:b/>
        </w:rPr>
      </w:pPr>
    </w:p>
    <w:p w:rsidR="00310E62" w:rsidRDefault="00310E62" w:rsidP="001332AE">
      <w:pPr>
        <w:rPr>
          <w:b/>
        </w:rPr>
      </w:pPr>
    </w:p>
    <w:p w:rsidR="00376B98" w:rsidRPr="004344ED" w:rsidRDefault="00376B98" w:rsidP="001332AE">
      <w:pPr>
        <w:rPr>
          <w:b/>
        </w:rPr>
      </w:pPr>
      <w:r w:rsidRPr="004344ED">
        <w:rPr>
          <w:b/>
        </w:rPr>
        <w:lastRenderedPageBreak/>
        <w:t>My courses are organized around the Academic Seminar model pioneered in German universities in the 19</w:t>
      </w:r>
      <w:r w:rsidRPr="004344ED">
        <w:rPr>
          <w:b/>
          <w:vertAlign w:val="superscript"/>
        </w:rPr>
        <w:t>th</w:t>
      </w:r>
      <w:r w:rsidRPr="004344ED">
        <w:rPr>
          <w:b/>
        </w:rPr>
        <w:t xml:space="preserve"> century, in which faculty and students work together to strive for new knowledge based on five pillars: interdisciplinarity; academic freedom; critical thinking; seeking knowledge as an end in itself; and integrating new knowledge while at the same time preserving and interpreting the past. </w:t>
      </w:r>
    </w:p>
    <w:p w:rsidR="00376B98" w:rsidRPr="004344ED" w:rsidRDefault="00376B98" w:rsidP="001332AE">
      <w:pPr>
        <w:rPr>
          <w:b/>
        </w:rPr>
      </w:pPr>
    </w:p>
    <w:p w:rsidR="001332AE" w:rsidRPr="004344ED" w:rsidRDefault="00376B98" w:rsidP="001332AE">
      <w:pPr>
        <w:rPr>
          <w:b/>
        </w:rPr>
      </w:pPr>
      <w:r w:rsidRPr="004344ED">
        <w:rPr>
          <w:b/>
        </w:rPr>
        <w:t>My pedagogy is founded on the intrinsic value of questioning and reflection, including the questioning of my own assumptions. As a student in my class you will develop your higher-order thinking skills through active learning—clarifying and challenging your own perspectives and those of others though the critical analysis, synthesis, and evaluation of theoretical and literary texts. We will examine and discuss challenging questions and complex realities, learn to think for ourselves, and connect to the world in rich, subtle ways.</w:t>
      </w:r>
    </w:p>
    <w:p w:rsidR="006C770C" w:rsidRDefault="006C770C" w:rsidP="001332AE"/>
    <w:p w:rsidR="005A1357" w:rsidRPr="008A70B6" w:rsidRDefault="005A1357" w:rsidP="005A1357">
      <w:pPr>
        <w:pStyle w:val="Heading2"/>
      </w:pPr>
      <w:r w:rsidRPr="008A70B6">
        <w:t>Course Requirements</w:t>
      </w:r>
    </w:p>
    <w:tbl>
      <w:tblPr>
        <w:tblStyle w:val="TableGrid"/>
        <w:tblW w:w="0" w:type="auto"/>
        <w:tblInd w:w="108" w:type="dxa"/>
        <w:tblLook w:val="04A0" w:firstRow="1" w:lastRow="0" w:firstColumn="1" w:lastColumn="0" w:noHBand="0" w:noVBand="1"/>
        <w:tblCaption w:val="Grade Requirements"/>
        <w:tblDescription w:val="Grade Requirements"/>
      </w:tblPr>
      <w:tblGrid>
        <w:gridCol w:w="4747"/>
        <w:gridCol w:w="2250"/>
      </w:tblGrid>
      <w:tr w:rsidR="005A1357" w:rsidTr="00865FB9">
        <w:trPr>
          <w:tblHeader/>
        </w:trPr>
        <w:tc>
          <w:tcPr>
            <w:tcW w:w="4747" w:type="dxa"/>
          </w:tcPr>
          <w:p w:rsidR="005A1357" w:rsidRPr="006C770C" w:rsidRDefault="005A1357" w:rsidP="00052E4F">
            <w:pPr>
              <w:jc w:val="center"/>
              <w:rPr>
                <w:rFonts w:cs="Arial"/>
                <w:b/>
              </w:rPr>
            </w:pPr>
            <w:r w:rsidRPr="006C770C">
              <w:rPr>
                <w:rFonts w:cs="Arial"/>
                <w:b/>
              </w:rPr>
              <w:t>Assignments</w:t>
            </w:r>
          </w:p>
        </w:tc>
        <w:tc>
          <w:tcPr>
            <w:tcW w:w="2250" w:type="dxa"/>
          </w:tcPr>
          <w:p w:rsidR="005A1357" w:rsidRPr="006C770C" w:rsidRDefault="005A1357" w:rsidP="00052E4F">
            <w:pPr>
              <w:jc w:val="center"/>
              <w:rPr>
                <w:rFonts w:cs="Arial"/>
                <w:b/>
              </w:rPr>
            </w:pPr>
            <w:r w:rsidRPr="006C770C">
              <w:rPr>
                <w:rFonts w:cs="Arial"/>
                <w:b/>
              </w:rPr>
              <w:t>Grade Percent</w:t>
            </w:r>
          </w:p>
        </w:tc>
      </w:tr>
      <w:tr w:rsidR="005A1357" w:rsidRPr="00EC79D3" w:rsidTr="00865FB9">
        <w:tc>
          <w:tcPr>
            <w:tcW w:w="4747" w:type="dxa"/>
          </w:tcPr>
          <w:p w:rsidR="005A1357" w:rsidRPr="00EC79D3" w:rsidRDefault="0056444C" w:rsidP="00052E4F">
            <w:pPr>
              <w:rPr>
                <w:rFonts w:cs="Arial"/>
              </w:rPr>
            </w:pPr>
            <w:r w:rsidRPr="00EC79D3">
              <w:rPr>
                <w:rFonts w:cs="Arial"/>
              </w:rPr>
              <w:t>Weekly Writing &amp; Discussion Board</w:t>
            </w:r>
          </w:p>
        </w:tc>
        <w:tc>
          <w:tcPr>
            <w:tcW w:w="2250" w:type="dxa"/>
          </w:tcPr>
          <w:p w:rsidR="005A1357" w:rsidRPr="00EC79D3" w:rsidRDefault="005A1357" w:rsidP="003C6204">
            <w:pPr>
              <w:jc w:val="center"/>
              <w:rPr>
                <w:rFonts w:cs="Arial"/>
              </w:rPr>
            </w:pPr>
            <w:r w:rsidRPr="00EC79D3">
              <w:rPr>
                <w:rFonts w:cs="Arial"/>
              </w:rPr>
              <w:t>2</w:t>
            </w:r>
            <w:r w:rsidR="003C6204">
              <w:rPr>
                <w:rFonts w:cs="Arial"/>
              </w:rPr>
              <w:t>0</w:t>
            </w:r>
            <w:r w:rsidRPr="00EC79D3">
              <w:rPr>
                <w:rFonts w:cs="Arial"/>
              </w:rPr>
              <w:t>%</w:t>
            </w:r>
          </w:p>
        </w:tc>
      </w:tr>
      <w:tr w:rsidR="00865FB9" w:rsidRPr="00EC79D3" w:rsidTr="00865FB9">
        <w:tc>
          <w:tcPr>
            <w:tcW w:w="4747" w:type="dxa"/>
          </w:tcPr>
          <w:p w:rsidR="00865FB9" w:rsidRPr="00EC79D3" w:rsidRDefault="00865FB9" w:rsidP="00052E4F">
            <w:pPr>
              <w:rPr>
                <w:rFonts w:cs="Arial"/>
              </w:rPr>
            </w:pPr>
            <w:r w:rsidRPr="00EC79D3">
              <w:rPr>
                <w:rFonts w:cs="Arial"/>
              </w:rPr>
              <w:t>Nature Writing Essay</w:t>
            </w:r>
          </w:p>
        </w:tc>
        <w:tc>
          <w:tcPr>
            <w:tcW w:w="2250" w:type="dxa"/>
          </w:tcPr>
          <w:p w:rsidR="00865FB9" w:rsidRPr="00EC79D3" w:rsidRDefault="0056444C" w:rsidP="005A1357">
            <w:pPr>
              <w:jc w:val="center"/>
              <w:rPr>
                <w:rFonts w:cs="Arial"/>
              </w:rPr>
            </w:pPr>
            <w:r w:rsidRPr="00EC79D3">
              <w:rPr>
                <w:rFonts w:cs="Arial"/>
              </w:rPr>
              <w:t>15</w:t>
            </w:r>
            <w:r w:rsidR="00BA7501" w:rsidRPr="00EC79D3">
              <w:rPr>
                <w:rFonts w:cs="Arial"/>
              </w:rPr>
              <w:t>%</w:t>
            </w:r>
          </w:p>
        </w:tc>
      </w:tr>
      <w:tr w:rsidR="009D5D43" w:rsidRPr="00EC79D3" w:rsidTr="00865FB9">
        <w:tc>
          <w:tcPr>
            <w:tcW w:w="4747" w:type="dxa"/>
          </w:tcPr>
          <w:p w:rsidR="009D5D43" w:rsidRPr="00EC79D3" w:rsidRDefault="009D5D43" w:rsidP="00052E4F">
            <w:pPr>
              <w:rPr>
                <w:rFonts w:cs="Arial"/>
              </w:rPr>
            </w:pPr>
            <w:r w:rsidRPr="00EC79D3">
              <w:rPr>
                <w:rFonts w:cs="Arial"/>
              </w:rPr>
              <w:t>Annotated Bibliography</w:t>
            </w:r>
          </w:p>
        </w:tc>
        <w:tc>
          <w:tcPr>
            <w:tcW w:w="2250" w:type="dxa"/>
          </w:tcPr>
          <w:p w:rsidR="009D5D43" w:rsidRPr="00EC79D3" w:rsidRDefault="003C6204" w:rsidP="005A1357">
            <w:pPr>
              <w:jc w:val="center"/>
              <w:rPr>
                <w:rFonts w:cs="Arial"/>
              </w:rPr>
            </w:pPr>
            <w:r>
              <w:rPr>
                <w:rFonts w:cs="Arial"/>
              </w:rPr>
              <w:t>15</w:t>
            </w:r>
            <w:r w:rsidR="009D5D43" w:rsidRPr="00EC79D3">
              <w:rPr>
                <w:rFonts w:cs="Arial"/>
              </w:rPr>
              <w:t>%</w:t>
            </w:r>
          </w:p>
        </w:tc>
      </w:tr>
      <w:tr w:rsidR="009D5D43" w:rsidRPr="00EC79D3" w:rsidTr="00865FB9">
        <w:tc>
          <w:tcPr>
            <w:tcW w:w="4747" w:type="dxa"/>
          </w:tcPr>
          <w:p w:rsidR="009D5D43" w:rsidRPr="003C6204" w:rsidRDefault="009D5D43" w:rsidP="00052E4F">
            <w:pPr>
              <w:rPr>
                <w:rFonts w:cs="Arial"/>
              </w:rPr>
            </w:pPr>
            <w:r w:rsidRPr="003C6204">
              <w:rPr>
                <w:rFonts w:cs="Arial"/>
              </w:rPr>
              <w:t>Paper Proposal</w:t>
            </w:r>
          </w:p>
        </w:tc>
        <w:tc>
          <w:tcPr>
            <w:tcW w:w="2250" w:type="dxa"/>
          </w:tcPr>
          <w:p w:rsidR="009D5D43" w:rsidRPr="003C6204" w:rsidRDefault="009D5D43" w:rsidP="00BA7501">
            <w:pPr>
              <w:jc w:val="center"/>
              <w:rPr>
                <w:rFonts w:cs="Arial"/>
              </w:rPr>
            </w:pPr>
            <w:r w:rsidRPr="003C6204">
              <w:rPr>
                <w:rFonts w:cs="Arial"/>
              </w:rPr>
              <w:t>15%</w:t>
            </w:r>
          </w:p>
        </w:tc>
      </w:tr>
      <w:tr w:rsidR="009D5D43" w:rsidRPr="00EC79D3" w:rsidTr="00865FB9">
        <w:tc>
          <w:tcPr>
            <w:tcW w:w="4747" w:type="dxa"/>
          </w:tcPr>
          <w:p w:rsidR="009D5D43" w:rsidRPr="003C6204" w:rsidRDefault="009D5D43" w:rsidP="00052E4F">
            <w:pPr>
              <w:rPr>
                <w:rFonts w:cs="Arial"/>
              </w:rPr>
            </w:pPr>
            <w:r w:rsidRPr="003C6204">
              <w:rPr>
                <w:rFonts w:cs="Arial"/>
              </w:rPr>
              <w:t>Researched Academic Argument Paper</w:t>
            </w:r>
          </w:p>
        </w:tc>
        <w:tc>
          <w:tcPr>
            <w:tcW w:w="2250" w:type="dxa"/>
          </w:tcPr>
          <w:p w:rsidR="009D5D43" w:rsidRPr="003C6204" w:rsidRDefault="009D5D43" w:rsidP="003C6204">
            <w:pPr>
              <w:jc w:val="center"/>
              <w:rPr>
                <w:rFonts w:cs="Arial"/>
              </w:rPr>
            </w:pPr>
            <w:r w:rsidRPr="003C6204">
              <w:rPr>
                <w:rFonts w:cs="Arial"/>
              </w:rPr>
              <w:t>2</w:t>
            </w:r>
            <w:r w:rsidR="003C6204">
              <w:rPr>
                <w:rFonts w:cs="Arial"/>
              </w:rPr>
              <w:t>0</w:t>
            </w:r>
            <w:r w:rsidRPr="003C6204">
              <w:rPr>
                <w:rFonts w:cs="Arial"/>
              </w:rPr>
              <w:t>%</w:t>
            </w:r>
          </w:p>
        </w:tc>
      </w:tr>
      <w:tr w:rsidR="003C6204" w:rsidRPr="00EC79D3" w:rsidTr="00865FB9">
        <w:tc>
          <w:tcPr>
            <w:tcW w:w="4747" w:type="dxa"/>
          </w:tcPr>
          <w:p w:rsidR="003C6204" w:rsidRPr="003C6204" w:rsidRDefault="003C6204" w:rsidP="00052E4F">
            <w:pPr>
              <w:rPr>
                <w:rFonts w:cs="Arial"/>
              </w:rPr>
            </w:pPr>
            <w:r w:rsidRPr="003C6204">
              <w:rPr>
                <w:rFonts w:cs="Arial"/>
                <w:i/>
              </w:rPr>
              <w:t>A Sand County Almanac</w:t>
            </w:r>
            <w:r w:rsidRPr="003C6204">
              <w:rPr>
                <w:rFonts w:cs="Arial"/>
              </w:rPr>
              <w:t xml:space="preserve"> Review Essay</w:t>
            </w:r>
          </w:p>
        </w:tc>
        <w:tc>
          <w:tcPr>
            <w:tcW w:w="2250" w:type="dxa"/>
          </w:tcPr>
          <w:p w:rsidR="003C6204" w:rsidRPr="003C6204" w:rsidRDefault="003C6204" w:rsidP="005A1357">
            <w:pPr>
              <w:jc w:val="center"/>
              <w:rPr>
                <w:rFonts w:cs="Arial"/>
              </w:rPr>
            </w:pPr>
            <w:r w:rsidRPr="003C6204">
              <w:rPr>
                <w:rFonts w:cs="Arial"/>
              </w:rPr>
              <w:t>15%</w:t>
            </w:r>
          </w:p>
        </w:tc>
      </w:tr>
    </w:tbl>
    <w:p w:rsidR="000C41C8" w:rsidRDefault="000C41C8" w:rsidP="005F73E8">
      <w:pPr>
        <w:rPr>
          <w:rFonts w:cs="Arial"/>
        </w:rPr>
      </w:pPr>
    </w:p>
    <w:p w:rsidR="000D29C8" w:rsidRPr="00EC79D3" w:rsidRDefault="00E72466" w:rsidP="00860FFE">
      <w:pPr>
        <w:pStyle w:val="Heading2"/>
      </w:pPr>
      <w:r w:rsidRPr="00EC79D3">
        <w:t>Grading Policy</w:t>
      </w:r>
    </w:p>
    <w:p w:rsidR="000D29C8" w:rsidRPr="00EC79D3" w:rsidRDefault="000D29C8" w:rsidP="000D29C8">
      <w:pPr>
        <w:rPr>
          <w:rFonts w:cs="Arial"/>
        </w:rPr>
      </w:pPr>
      <w:r w:rsidRPr="00EC79D3">
        <w:rPr>
          <w:rFonts w:cs="Arial"/>
        </w:rPr>
        <w:t>In this class, the following numerical equivalents for final</w:t>
      </w:r>
      <w:r w:rsidRPr="00EC79D3">
        <w:rPr>
          <w:rFonts w:cs="Arial"/>
          <w:b/>
        </w:rPr>
        <w:t xml:space="preserve"> </w:t>
      </w:r>
      <w:r w:rsidRPr="00EC79D3">
        <w:rPr>
          <w:rFonts w:cs="Arial"/>
        </w:rPr>
        <w:t>grades are used: A = 100-90%; B = 89-80%; C = 79-70%; D = 69-60%; F = 59-0%.</w:t>
      </w:r>
    </w:p>
    <w:p w:rsidR="000D29C8" w:rsidRPr="00EC79D3" w:rsidRDefault="000D29C8" w:rsidP="00525828">
      <w:pPr>
        <w:rPr>
          <w:rFonts w:cs="Arial"/>
        </w:rPr>
      </w:pPr>
    </w:p>
    <w:p w:rsidR="000D29C8" w:rsidRPr="00EC79D3" w:rsidRDefault="00E72466" w:rsidP="00860FFE">
      <w:pPr>
        <w:pStyle w:val="Heading2"/>
      </w:pPr>
      <w:r w:rsidRPr="00EC79D3">
        <w:t>Daily Writing and Class Activities</w:t>
      </w:r>
    </w:p>
    <w:p w:rsidR="000D29C8" w:rsidRDefault="0056444C" w:rsidP="000D29C8">
      <w:pPr>
        <w:rPr>
          <w:rFonts w:cs="Arial"/>
        </w:rPr>
      </w:pPr>
      <w:r w:rsidRPr="00EC79D3">
        <w:rPr>
          <w:rFonts w:cs="Arial"/>
        </w:rPr>
        <w:t>Weekly</w:t>
      </w:r>
      <w:r w:rsidR="000D29C8" w:rsidRPr="00EC79D3">
        <w:rPr>
          <w:rFonts w:cs="Arial"/>
        </w:rPr>
        <w:t xml:space="preserve"> writings </w:t>
      </w:r>
      <w:r w:rsidRPr="00EC79D3">
        <w:rPr>
          <w:rFonts w:cs="Arial"/>
        </w:rPr>
        <w:t>will ask you to respond to writing prompts for that week’s writing</w:t>
      </w:r>
      <w:r w:rsidR="000D29C8" w:rsidRPr="00EC79D3">
        <w:rPr>
          <w:rFonts w:cs="Arial"/>
        </w:rPr>
        <w:t xml:space="preserve">. </w:t>
      </w:r>
      <w:r w:rsidRPr="00EC79D3">
        <w:rPr>
          <w:rFonts w:cs="Arial"/>
        </w:rPr>
        <w:t xml:space="preserve">Some weeks that means brief responses to several questions, other weeks I will ask you to respond longer to </w:t>
      </w:r>
      <w:r w:rsidR="00EC79D3" w:rsidRPr="00EC79D3">
        <w:rPr>
          <w:rFonts w:cs="Arial"/>
        </w:rPr>
        <w:t xml:space="preserve">a </w:t>
      </w:r>
      <w:r w:rsidRPr="00EC79D3">
        <w:rPr>
          <w:rFonts w:cs="Arial"/>
        </w:rPr>
        <w:t xml:space="preserve">single question. </w:t>
      </w:r>
      <w:r w:rsidR="000D29C8" w:rsidRPr="00EC79D3">
        <w:rPr>
          <w:rFonts w:cs="Arial"/>
        </w:rPr>
        <w:t xml:space="preserve">These writing activities will be graded on a plus/check/minus scale: a plus for doing a thorough job (100%), a check for completing the work in an acceptable fashion (70%), and a minus for not completing the work or for obvious lack of effort (0%). Some assignments, depending on length and difficulty, will count for more than one </w:t>
      </w:r>
      <w:r w:rsidR="00D9296A" w:rsidRPr="00EC79D3">
        <w:rPr>
          <w:rFonts w:cs="Arial"/>
        </w:rPr>
        <w:t>weekly</w:t>
      </w:r>
      <w:r w:rsidR="000D29C8" w:rsidRPr="00EC79D3">
        <w:rPr>
          <w:rFonts w:cs="Arial"/>
        </w:rPr>
        <w:t xml:space="preserve"> grade. You cannot make up in-class writing or homework. </w:t>
      </w:r>
      <w:r w:rsidR="000D29C8" w:rsidRPr="00EC79D3">
        <w:rPr>
          <w:rStyle w:val="Emphasis"/>
        </w:rPr>
        <w:t>This portion of your course work can easily make or break your overall grade, so be sure to keep up.</w:t>
      </w:r>
      <w:r w:rsidR="000D29C8" w:rsidRPr="008A70B6">
        <w:rPr>
          <w:rFonts w:cs="Arial"/>
        </w:rPr>
        <w:t xml:space="preserve"> </w:t>
      </w:r>
    </w:p>
    <w:p w:rsidR="00707AC1" w:rsidRPr="008A70B6" w:rsidRDefault="00707AC1" w:rsidP="000D29C8">
      <w:pPr>
        <w:rPr>
          <w:rFonts w:cs="Arial"/>
        </w:rPr>
      </w:pPr>
    </w:p>
    <w:p w:rsidR="00415751" w:rsidRPr="008A70B6" w:rsidRDefault="00415751" w:rsidP="00415751">
      <w:pPr>
        <w:pStyle w:val="Heading2"/>
      </w:pPr>
      <w:r w:rsidRPr="008A70B6">
        <w:t xml:space="preserve">Class Preparation </w:t>
      </w:r>
      <w:r>
        <w:t>a</w:t>
      </w:r>
      <w:r w:rsidRPr="008A70B6">
        <w:t>nd Participation</w:t>
      </w:r>
    </w:p>
    <w:p w:rsidR="00415751" w:rsidRPr="00E72466" w:rsidRDefault="00415751" w:rsidP="00415751">
      <w:pPr>
        <w:rPr>
          <w:rFonts w:cs="Arial"/>
        </w:rPr>
      </w:pPr>
      <w:r w:rsidRPr="008A70B6">
        <w:rPr>
          <w:rFonts w:cs="Arial"/>
        </w:rPr>
        <w:t xml:space="preserve">To succeed on your daily writing you must show that you’ve closely read, have at least a cursory understanding of the material, and address, to the best of your ability, the writing prompts. </w:t>
      </w:r>
      <w:r>
        <w:rPr>
          <w:rFonts w:cs="Arial"/>
        </w:rPr>
        <w:t>S</w:t>
      </w:r>
      <w:r w:rsidRPr="00E72466">
        <w:rPr>
          <w:rFonts w:cs="Arial"/>
        </w:rPr>
        <w:t xml:space="preserve">pecific examples from the work always help get the point across. It is also good to try to tie in any relevant terminology or critical concepts from class discussions. Read the assigned material by the date listed on the schedule of readings. As you read, take notes and underline/highlight what you believe are key passages in </w:t>
      </w:r>
      <w:r w:rsidRPr="00E72466">
        <w:rPr>
          <w:rFonts w:cs="Arial"/>
        </w:rPr>
        <w:lastRenderedPageBreak/>
        <w:t xml:space="preserve">the text (a climactic scene, crucial lines for understanding the work, a summary of the argument, etc.), or things you have trouble understanding. </w:t>
      </w:r>
    </w:p>
    <w:p w:rsidR="00415751" w:rsidRDefault="00415751" w:rsidP="00415751">
      <w:pPr>
        <w:pStyle w:val="Heading2"/>
      </w:pPr>
    </w:p>
    <w:p w:rsidR="00415751" w:rsidRPr="008A70B6" w:rsidRDefault="00415751" w:rsidP="00415751">
      <w:pPr>
        <w:pStyle w:val="Heading2"/>
      </w:pPr>
      <w:r w:rsidRPr="008A70B6">
        <w:t xml:space="preserve">Paper Submission Format </w:t>
      </w:r>
      <w:r>
        <w:t>a</w:t>
      </w:r>
      <w:r w:rsidRPr="008A70B6">
        <w:t>nd Policy</w:t>
      </w:r>
    </w:p>
    <w:p w:rsidR="00415751" w:rsidRPr="008A70B6" w:rsidRDefault="00415751" w:rsidP="00415751">
      <w:pPr>
        <w:rPr>
          <w:rFonts w:cs="Arial"/>
        </w:rPr>
      </w:pPr>
      <w:r w:rsidRPr="008A70B6">
        <w:rPr>
          <w:rFonts w:cs="Arial"/>
        </w:rPr>
        <w:t xml:space="preserve">All out-of-class assignments must be typed in Times New Roman 12-point black font with one inch margins using MLA format. 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w:t>
      </w:r>
      <w:r w:rsidRPr="001332AE">
        <w:rPr>
          <w:rStyle w:val="Emphasis"/>
        </w:rPr>
        <w:t>Note:</w:t>
      </w:r>
      <w:r w:rsidRPr="008A70B6">
        <w:rPr>
          <w:rFonts w:cs="Arial"/>
          <w:b/>
        </w:rPr>
        <w:t xml:space="preserve"> </w:t>
      </w:r>
      <w:r w:rsidRPr="008A70B6">
        <w:rPr>
          <w:rFonts w:cs="Arial"/>
        </w:rPr>
        <w:t xml:space="preserve">You may not submit a paper for a grade in this class that already has been (or will be) submitted for a grade in another course, unless you obtain the explicit written permission of me and the other instructor involved </w:t>
      </w:r>
      <w:r w:rsidRPr="008A70B6">
        <w:rPr>
          <w:rFonts w:cs="Arial"/>
          <w:i/>
          <w:iCs/>
        </w:rPr>
        <w:t>in advance</w:t>
      </w:r>
      <w:r w:rsidRPr="008A70B6">
        <w:rPr>
          <w:rFonts w:cs="Arial"/>
        </w:rPr>
        <w:t>.</w:t>
      </w:r>
    </w:p>
    <w:p w:rsidR="00415751" w:rsidRPr="008A70B6" w:rsidRDefault="00415751" w:rsidP="00415751">
      <w:pPr>
        <w:rPr>
          <w:rFonts w:cs="Arial"/>
        </w:rPr>
      </w:pPr>
    </w:p>
    <w:p w:rsidR="00415751" w:rsidRPr="008A70B6" w:rsidRDefault="00415751" w:rsidP="00415751">
      <w:pPr>
        <w:pStyle w:val="Heading2"/>
      </w:pPr>
      <w:r w:rsidRPr="008A70B6">
        <w:t xml:space="preserve">Late Paper </w:t>
      </w:r>
      <w:r>
        <w:t>and</w:t>
      </w:r>
      <w:r w:rsidRPr="008A70B6">
        <w:t xml:space="preserve"> Assignment Policy</w:t>
      </w:r>
    </w:p>
    <w:p w:rsidR="00415751" w:rsidRDefault="00415751" w:rsidP="00415751">
      <w:pPr>
        <w:rPr>
          <w:rStyle w:val="Emphasis"/>
        </w:rPr>
      </w:pPr>
      <w:r w:rsidRPr="008A70B6">
        <w:rPr>
          <w:rFonts w:cs="Arial"/>
        </w:rPr>
        <w:t xml:space="preserve">Unless arrangements are made </w:t>
      </w:r>
      <w:r w:rsidRPr="008A70B6">
        <w:rPr>
          <w:rFonts w:cs="Arial"/>
          <w:i/>
        </w:rPr>
        <w:t>in advance</w:t>
      </w:r>
      <w:r w:rsidRPr="008A70B6">
        <w:rPr>
          <w:rFonts w:cs="Arial"/>
        </w:rPr>
        <w:t xml:space="preserve"> for extenuating circumstances, you will automatically lose a letter grade for each day a paper is late, including weekends. A paper that is more than a week late will automatically receive an F, regardless of the quality of work. </w:t>
      </w:r>
      <w:r w:rsidRPr="001332AE">
        <w:rPr>
          <w:rStyle w:val="Emphasis"/>
        </w:rPr>
        <w:t>All major assignments must be turned in to pass the class. You will not be able to make up daily work and there is no extra credit.</w:t>
      </w:r>
    </w:p>
    <w:p w:rsidR="00415751" w:rsidRPr="008A70B6" w:rsidRDefault="00415751" w:rsidP="00415751">
      <w:pPr>
        <w:rPr>
          <w:rFonts w:cs="Arial"/>
        </w:rPr>
      </w:pPr>
      <w:r w:rsidRPr="008A70B6">
        <w:rPr>
          <w:rFonts w:cs="Arial"/>
        </w:rPr>
        <w:t xml:space="preserve"> </w:t>
      </w:r>
    </w:p>
    <w:p w:rsidR="00415751" w:rsidRPr="008A70B6" w:rsidRDefault="00415751" w:rsidP="00415751">
      <w:pPr>
        <w:pStyle w:val="Heading2"/>
      </w:pPr>
      <w:r w:rsidRPr="008A70B6">
        <w:t>Plagiarism Policy</w:t>
      </w:r>
    </w:p>
    <w:p w:rsidR="00415751" w:rsidRPr="001332AE" w:rsidRDefault="00415751" w:rsidP="00415751">
      <w:pPr>
        <w:rPr>
          <w:rStyle w:val="Emphasis"/>
        </w:rPr>
      </w:pPr>
      <w:r w:rsidRPr="008A70B6">
        <w:rPr>
          <w:rFonts w:cs="Arial"/>
        </w:rPr>
        <w:t xml:space="preserve">Plagiarism is the use of someone else’s thoughts, words, ideas, or lines of argument in your own work without appropriate documentation (a parenthetical citation at the end and a listing in “Works Cited”)–whether you use that material in a quotation, paraphrase, or summary. It is a theft of intellectual property and will </w:t>
      </w:r>
      <w:r w:rsidRPr="001332AE">
        <w:rPr>
          <w:rFonts w:cs="Arial"/>
          <w:bCs/>
        </w:rPr>
        <w:t>not be tolerated</w:t>
      </w:r>
      <w:r w:rsidRPr="008A70B6">
        <w:rPr>
          <w:rFonts w:cs="Arial"/>
        </w:rPr>
        <w:t xml:space="preserve">, whether intentional or not. I have a zero tolerance for any type of plagiarism. </w:t>
      </w:r>
      <w:r w:rsidRPr="001332AE">
        <w:rPr>
          <w:rStyle w:val="Emphasis"/>
        </w:rPr>
        <w:t>All incidents of plagiarism will be penalized (the paper will receive an automatic F), reported, and kept on file. The second incident of plagiarism in class by the same student will result in the student receiving an F for the course.</w:t>
      </w:r>
    </w:p>
    <w:p w:rsidR="00415751" w:rsidRPr="008A70B6" w:rsidRDefault="00415751" w:rsidP="00415751">
      <w:pPr>
        <w:rPr>
          <w:rFonts w:cs="Arial"/>
        </w:rPr>
      </w:pPr>
    </w:p>
    <w:p w:rsidR="00415751" w:rsidRPr="008A70B6" w:rsidRDefault="00415751" w:rsidP="00415751">
      <w:pPr>
        <w:pStyle w:val="Heading2"/>
      </w:pPr>
      <w:r w:rsidRPr="008A70B6">
        <w:t xml:space="preserve">Students </w:t>
      </w:r>
      <w:r>
        <w:t>w</w:t>
      </w:r>
      <w:r w:rsidRPr="008A70B6">
        <w:t>ith Disabilities</w:t>
      </w:r>
    </w:p>
    <w:p w:rsidR="00415751" w:rsidRPr="008A70B6" w:rsidRDefault="00415751" w:rsidP="00415751">
      <w:pPr>
        <w:rPr>
          <w:rFonts w:cs="Arial"/>
          <w:bCs/>
        </w:rPr>
      </w:pPr>
      <w:r w:rsidRPr="008A70B6">
        <w:rPr>
          <w:rFonts w:cs="Arial"/>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415751" w:rsidRPr="008A70B6" w:rsidRDefault="00415751" w:rsidP="00415751">
      <w:pPr>
        <w:rPr>
          <w:rFonts w:cs="Arial"/>
          <w:bCs/>
        </w:rPr>
      </w:pPr>
    </w:p>
    <w:p w:rsidR="00415751" w:rsidRPr="008A70B6" w:rsidRDefault="00415751" w:rsidP="00415751">
      <w:pPr>
        <w:pStyle w:val="Heading2"/>
      </w:pPr>
      <w:r w:rsidRPr="008A70B6">
        <w:t>Safe Zone Statement</w:t>
      </w:r>
    </w:p>
    <w:p w:rsidR="00415751" w:rsidRPr="008A70B6" w:rsidRDefault="00415751" w:rsidP="00415751">
      <w:pPr>
        <w:rPr>
          <w:rFonts w:cs="Arial"/>
        </w:rPr>
      </w:pPr>
      <w:r w:rsidRPr="008A70B6">
        <w:rPr>
          <w:rFonts w:cs="Arial"/>
        </w:rPr>
        <w:t>I consider this classroom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w:t>
      </w:r>
    </w:p>
    <w:p w:rsidR="00415751" w:rsidRPr="008A70B6" w:rsidRDefault="00415751" w:rsidP="00415751">
      <w:pPr>
        <w:rPr>
          <w:rFonts w:cs="Arial"/>
        </w:rPr>
      </w:pPr>
    </w:p>
    <w:p w:rsidR="00415751" w:rsidRPr="008A70B6" w:rsidRDefault="00415751" w:rsidP="00415751">
      <w:pPr>
        <w:pStyle w:val="Heading2"/>
      </w:pPr>
      <w:r w:rsidRPr="008A70B6">
        <w:lastRenderedPageBreak/>
        <w:t>Grade Appeals</w:t>
      </w:r>
    </w:p>
    <w:p w:rsidR="00415751" w:rsidRPr="008A70B6" w:rsidRDefault="00415751" w:rsidP="00415751">
      <w:pPr>
        <w:rPr>
          <w:rFonts w:cs="Arial"/>
        </w:rPr>
      </w:pPr>
      <w:r w:rsidRPr="008A70B6">
        <w:rPr>
          <w:rFonts w:cs="Arial"/>
        </w:rPr>
        <w:t xml:space="preserve">I will be happy to try to explain the rationale behind any grade; however, </w:t>
      </w:r>
      <w:r w:rsidRPr="008A70B6">
        <w:rPr>
          <w:rFonts w:cs="Arial"/>
          <w:bCs/>
        </w:rPr>
        <w:t>I absolutely do not negotiate, haggle, or argue about grades</w:t>
      </w:r>
      <w:r w:rsidRPr="008A70B6">
        <w:rPr>
          <w:rFonts w:cs="Arial"/>
        </w:rPr>
        <w:t>. Part of my job is to evaluate your work and to assign a written grade to it. I do that to the best of my ability the first time. The bottom line is that you have to take responsibility for your own education.</w:t>
      </w:r>
    </w:p>
    <w:p w:rsidR="00415751" w:rsidRPr="008A70B6" w:rsidRDefault="00415751" w:rsidP="00415751">
      <w:pPr>
        <w:rPr>
          <w:rFonts w:cs="Arial"/>
        </w:rPr>
      </w:pPr>
    </w:p>
    <w:p w:rsidR="00415751" w:rsidRPr="008A70B6" w:rsidRDefault="00415751" w:rsidP="00415751">
      <w:pPr>
        <w:pStyle w:val="Heading2"/>
      </w:pPr>
      <w:r w:rsidRPr="008A70B6">
        <w:t>M</w:t>
      </w:r>
      <w:r>
        <w:t>SU</w:t>
      </w:r>
      <w:r w:rsidRPr="008A70B6">
        <w:t xml:space="preserve"> Writing Labs</w:t>
      </w:r>
    </w:p>
    <w:p w:rsidR="00415751" w:rsidRDefault="00415751" w:rsidP="00415751">
      <w:pPr>
        <w:rPr>
          <w:rFonts w:cs="Arial"/>
          <w:color w:val="000000"/>
        </w:rPr>
      </w:pPr>
      <w:r w:rsidRPr="008A70B6">
        <w:rPr>
          <w:rFonts w:cs="Arial"/>
          <w:color w:val="000000"/>
        </w:rPr>
        <w:t>I encourage you to begin drafting papers as early as possible and to take advantage of the MSU Writing Labs located in 224 Bea Wood and RC246 Moffett Library. Writing tutors will not edit your papers for you, but they will provide you with specific suggestions for improving your writing.</w:t>
      </w:r>
    </w:p>
    <w:p w:rsidR="00415751" w:rsidRPr="008A70B6" w:rsidRDefault="00415751" w:rsidP="00415751">
      <w:pPr>
        <w:rPr>
          <w:rFonts w:cs="Arial"/>
        </w:rPr>
      </w:pPr>
      <w:r w:rsidRPr="008A70B6">
        <w:rPr>
          <w:rFonts w:cs="Arial"/>
        </w:rPr>
        <w:t xml:space="preserve"> </w:t>
      </w:r>
    </w:p>
    <w:p w:rsidR="00415751" w:rsidRPr="008A70B6" w:rsidRDefault="00415751" w:rsidP="00415751">
      <w:pPr>
        <w:pStyle w:val="Heading2"/>
      </w:pPr>
      <w:r w:rsidRPr="008A70B6">
        <w:t>Writing Proficiency Requirement</w:t>
      </w:r>
    </w:p>
    <w:p w:rsidR="00415751" w:rsidRDefault="00415751" w:rsidP="00415751">
      <w:pPr>
        <w:spacing w:after="200"/>
        <w:rPr>
          <w:rFonts w:cs="Arial"/>
          <w:color w:val="000000"/>
        </w:rPr>
      </w:pPr>
      <w:r w:rsidRPr="008A70B6">
        <w:rPr>
          <w:rFonts w:cs="Arial"/>
          <w:color w:val="000000"/>
        </w:rPr>
        <w:t>All students seeking a Bachelor’s degree from Midwestern State University must satisfy a writing proficiency requirement once they have 1) passed English 1113 and English 1123 and 2) earned 60 hours. You may meet this requirement by passing either the Writing Proficiency Exam or English 2113. Please keep in mind that, once you have earned over 90 hours, you lose the opportunity to take the $25 exam and have no option but to enroll in the three-credit-hour course. If you have any questions about the exam, visit the Writing Proficiency Office website at http://academics.mwsu.edu/wpr, or call 397-4131.</w:t>
      </w:r>
    </w:p>
    <w:p w:rsidR="00424F20" w:rsidRDefault="00424F20" w:rsidP="001332AE">
      <w:pPr>
        <w:pStyle w:val="Heading2"/>
      </w:pPr>
    </w:p>
    <w:p w:rsidR="007A580D" w:rsidRPr="008A70B6" w:rsidRDefault="00E72466" w:rsidP="001332AE">
      <w:pPr>
        <w:pStyle w:val="Heading2"/>
      </w:pPr>
      <w:r w:rsidRPr="008A70B6">
        <w:t>Reading Schedule</w:t>
      </w:r>
    </w:p>
    <w:p w:rsidR="007A580D" w:rsidRDefault="007A580D" w:rsidP="007A580D">
      <w:pPr>
        <w:spacing w:after="200"/>
        <w:rPr>
          <w:rFonts w:cs="Arial"/>
        </w:rPr>
      </w:pPr>
      <w:r w:rsidRPr="008A70B6">
        <w:rPr>
          <w:rFonts w:cs="Arial"/>
        </w:rPr>
        <w:t>This schedule is tentative; I reserve the right to amend it with oral notice in class. If you anticipate a problem with due dates please speak with me well in advance.</w:t>
      </w:r>
    </w:p>
    <w:p w:rsidR="005E0D9D" w:rsidRPr="000C112E" w:rsidRDefault="00F422D8" w:rsidP="004662DE">
      <w:pPr>
        <w:rPr>
          <w:rFonts w:cs="Arial"/>
          <w:b/>
          <w:color w:val="00B050"/>
        </w:rPr>
      </w:pPr>
      <w:r w:rsidRPr="000C112E">
        <w:rPr>
          <w:rFonts w:cs="Arial"/>
          <w:b/>
          <w:color w:val="00B050"/>
        </w:rPr>
        <w:t>GREEN = D2L</w:t>
      </w:r>
    </w:p>
    <w:p w:rsidR="00F422D8" w:rsidRPr="000C112E" w:rsidRDefault="00F422D8" w:rsidP="004662DE">
      <w:pPr>
        <w:rPr>
          <w:rFonts w:cs="Arial"/>
          <w:b/>
          <w:color w:val="00B0F0"/>
        </w:rPr>
      </w:pPr>
      <w:r w:rsidRPr="000C112E">
        <w:rPr>
          <w:rFonts w:cs="Arial"/>
          <w:b/>
          <w:color w:val="00B0F0"/>
        </w:rPr>
        <w:t xml:space="preserve">BLUE = </w:t>
      </w:r>
      <w:r w:rsidRPr="000C112E">
        <w:rPr>
          <w:rFonts w:cs="Arial"/>
          <w:b/>
          <w:i/>
          <w:color w:val="00B0F0"/>
        </w:rPr>
        <w:t>Listening to the Earth</w:t>
      </w:r>
    </w:p>
    <w:p w:rsidR="00F422D8" w:rsidRPr="000C112E" w:rsidRDefault="00F422D8" w:rsidP="004662DE">
      <w:pPr>
        <w:rPr>
          <w:rFonts w:cs="Arial"/>
          <w:b/>
          <w:color w:val="C00000"/>
        </w:rPr>
      </w:pPr>
      <w:r w:rsidRPr="000C112E">
        <w:rPr>
          <w:rFonts w:cs="Arial"/>
          <w:b/>
          <w:color w:val="C00000"/>
        </w:rPr>
        <w:t xml:space="preserve">MAROON = </w:t>
      </w:r>
      <w:r w:rsidRPr="000C112E">
        <w:rPr>
          <w:rFonts w:cs="Arial"/>
          <w:b/>
          <w:i/>
          <w:color w:val="C00000"/>
        </w:rPr>
        <w:t>Little Seagull</w:t>
      </w:r>
    </w:p>
    <w:p w:rsidR="00F422D8" w:rsidRDefault="00F422D8" w:rsidP="004662DE">
      <w:pPr>
        <w:rPr>
          <w:rFonts w:cs="Arial"/>
        </w:rPr>
      </w:pPr>
    </w:p>
    <w:p w:rsidR="00776804" w:rsidRPr="00C67767" w:rsidRDefault="00776804" w:rsidP="00776804">
      <w:r>
        <w:rPr>
          <w:b/>
        </w:rPr>
        <w:t>Week 1</w:t>
      </w:r>
      <w:r w:rsidR="006F1D50">
        <w:rPr>
          <w:b/>
        </w:rPr>
        <w:t xml:space="preserve"> </w:t>
      </w:r>
      <w:r w:rsidR="006F1D50" w:rsidRPr="006F1D50">
        <w:t>(</w:t>
      </w:r>
      <w:r>
        <w:t>1/11–1/15)</w:t>
      </w:r>
    </w:p>
    <w:p w:rsidR="00D4191B" w:rsidRDefault="00D4191B" w:rsidP="00D4191B">
      <w:pPr>
        <w:rPr>
          <w:rFonts w:cs="Arial"/>
        </w:rPr>
      </w:pPr>
      <w:r>
        <w:rPr>
          <w:rFonts w:cs="Arial"/>
        </w:rPr>
        <w:t xml:space="preserve">Class Introduction </w:t>
      </w:r>
    </w:p>
    <w:p w:rsidR="00D4191B" w:rsidRDefault="00D4191B" w:rsidP="00D4191B">
      <w:pPr>
        <w:rPr>
          <w:rFonts w:cs="Arial"/>
          <w:color w:val="00B050"/>
        </w:rPr>
      </w:pPr>
      <w:r>
        <w:rPr>
          <w:rFonts w:cs="Arial"/>
        </w:rPr>
        <w:t>Discuss nature writing genre and Paper 1</w:t>
      </w:r>
      <w:r>
        <w:rPr>
          <w:rFonts w:cs="Arial"/>
          <w:color w:val="00B050"/>
        </w:rPr>
        <w:t xml:space="preserve"> </w:t>
      </w:r>
    </w:p>
    <w:p w:rsidR="00D4191B" w:rsidRDefault="00D4191B" w:rsidP="00D4191B">
      <w:pPr>
        <w:rPr>
          <w:rFonts w:cs="Arial"/>
        </w:rPr>
      </w:pPr>
      <w:r>
        <w:rPr>
          <w:rFonts w:cs="Arial"/>
          <w:i/>
          <w:color w:val="C00000"/>
        </w:rPr>
        <w:t>LS</w:t>
      </w:r>
      <w:r>
        <w:rPr>
          <w:rFonts w:cs="Arial"/>
          <w:color w:val="C00000"/>
        </w:rPr>
        <w:t xml:space="preserve"> “Writing Contexts” – “Writing Processes” (2-16)</w:t>
      </w:r>
    </w:p>
    <w:p w:rsidR="00D4191B" w:rsidRDefault="00D4191B" w:rsidP="00D4191B">
      <w:pPr>
        <w:rPr>
          <w:rFonts w:cs="Arial"/>
        </w:rPr>
      </w:pPr>
    </w:p>
    <w:p w:rsidR="00D4191B" w:rsidRDefault="00D4191B" w:rsidP="00D4191B">
      <w:pPr>
        <w:rPr>
          <w:rFonts w:cs="Arial"/>
        </w:rPr>
      </w:pPr>
    </w:p>
    <w:p w:rsidR="00776804" w:rsidRPr="00C67767" w:rsidRDefault="00776804" w:rsidP="00776804">
      <w:r>
        <w:rPr>
          <w:b/>
        </w:rPr>
        <w:t>Week 2</w:t>
      </w:r>
      <w:r w:rsidR="006F1D50">
        <w:rPr>
          <w:b/>
        </w:rPr>
        <w:t xml:space="preserve"> </w:t>
      </w:r>
      <w:r>
        <w:t xml:space="preserve">(1/18–1/22) </w:t>
      </w:r>
    </w:p>
    <w:p w:rsidR="00D4191B" w:rsidRDefault="00D4191B" w:rsidP="00D4191B">
      <w:pPr>
        <w:rPr>
          <w:rFonts w:cs="Arial"/>
        </w:rPr>
      </w:pPr>
      <w:r>
        <w:rPr>
          <w:rFonts w:cs="Arial"/>
          <w:color w:val="00B050"/>
        </w:rPr>
        <w:t>John Muir, “A Wind-Storm in the Forests” (D2L)</w:t>
      </w:r>
    </w:p>
    <w:p w:rsidR="00D4191B" w:rsidRDefault="00D4191B" w:rsidP="00D4191B">
      <w:pPr>
        <w:tabs>
          <w:tab w:val="left" w:pos="4140"/>
        </w:tabs>
        <w:rPr>
          <w:rFonts w:cs="Arial"/>
        </w:rPr>
      </w:pPr>
      <w:r>
        <w:rPr>
          <w:rFonts w:cs="Arial"/>
          <w:i/>
          <w:color w:val="C00000"/>
        </w:rPr>
        <w:t>LS</w:t>
      </w:r>
      <w:r>
        <w:rPr>
          <w:rFonts w:cs="Arial"/>
          <w:color w:val="C00000"/>
        </w:rPr>
        <w:t xml:space="preserve"> “Personal Narratives” (58-61) and “Reading Strategies” (83-86)</w:t>
      </w:r>
    </w:p>
    <w:p w:rsidR="00D4191B" w:rsidRDefault="00D4191B" w:rsidP="00D4191B">
      <w:pPr>
        <w:rPr>
          <w:rFonts w:cs="Arial"/>
          <w:b/>
        </w:rPr>
      </w:pPr>
      <w:r>
        <w:rPr>
          <w:rFonts w:cs="Arial"/>
          <w:b/>
        </w:rPr>
        <w:tab/>
      </w:r>
    </w:p>
    <w:p w:rsidR="00D4191B" w:rsidRDefault="00D4191B" w:rsidP="00D4191B">
      <w:pPr>
        <w:tabs>
          <w:tab w:val="left" w:pos="4140"/>
        </w:tabs>
        <w:rPr>
          <w:rFonts w:cs="Arial"/>
        </w:rPr>
      </w:pPr>
      <w:r>
        <w:rPr>
          <w:rFonts w:cs="Arial"/>
        </w:rPr>
        <w:tab/>
      </w:r>
    </w:p>
    <w:p w:rsidR="0088538B" w:rsidRPr="00C67767" w:rsidRDefault="0088538B" w:rsidP="0088538B">
      <w:r>
        <w:rPr>
          <w:b/>
        </w:rPr>
        <w:t>Week 3</w:t>
      </w:r>
      <w:r w:rsidR="006F1D50">
        <w:rPr>
          <w:b/>
        </w:rPr>
        <w:t xml:space="preserve"> </w:t>
      </w:r>
      <w:r>
        <w:t>(1/25–1/29)</w:t>
      </w:r>
    </w:p>
    <w:p w:rsidR="00D4191B" w:rsidRDefault="00D4191B" w:rsidP="00D4191B">
      <w:pPr>
        <w:rPr>
          <w:rFonts w:cs="Arial"/>
        </w:rPr>
      </w:pPr>
      <w:r>
        <w:rPr>
          <w:rFonts w:cs="Arial"/>
          <w:color w:val="00B0F0"/>
        </w:rPr>
        <w:t>Henry David Thoreau, “Walking” (44-53)</w:t>
      </w:r>
    </w:p>
    <w:p w:rsidR="00D4191B" w:rsidRDefault="00D4191B" w:rsidP="00D4191B">
      <w:pPr>
        <w:rPr>
          <w:rFonts w:cs="Arial"/>
        </w:rPr>
      </w:pPr>
      <w:r>
        <w:rPr>
          <w:rFonts w:cs="Arial"/>
          <w:color w:val="00B0F0"/>
        </w:rPr>
        <w:t>Edward Abbey, “The First Morning” (165-171)</w:t>
      </w:r>
      <w:r>
        <w:rPr>
          <w:rFonts w:cs="Arial"/>
        </w:rPr>
        <w:t xml:space="preserve"> </w:t>
      </w:r>
    </w:p>
    <w:p w:rsidR="00D4191B" w:rsidRDefault="00D4191B" w:rsidP="00D4191B">
      <w:pPr>
        <w:rPr>
          <w:rFonts w:cs="Arial"/>
          <w:b/>
        </w:rPr>
      </w:pPr>
    </w:p>
    <w:p w:rsidR="00D4191B" w:rsidRDefault="00D4191B" w:rsidP="00D4191B">
      <w:pPr>
        <w:rPr>
          <w:rFonts w:cs="Arial"/>
          <w:b/>
        </w:rPr>
      </w:pPr>
    </w:p>
    <w:p w:rsidR="0088538B" w:rsidRPr="00C67767" w:rsidRDefault="0088538B" w:rsidP="0088538B">
      <w:r>
        <w:rPr>
          <w:b/>
        </w:rPr>
        <w:lastRenderedPageBreak/>
        <w:t>Week 4</w:t>
      </w:r>
      <w:r w:rsidR="006F1D50">
        <w:rPr>
          <w:b/>
        </w:rPr>
        <w:t xml:space="preserve"> </w:t>
      </w:r>
      <w:r>
        <w:t xml:space="preserve">(2/1–2/5)  </w:t>
      </w:r>
    </w:p>
    <w:p w:rsidR="00D4191B" w:rsidRDefault="00D4191B" w:rsidP="00D4191B">
      <w:pPr>
        <w:rPr>
          <w:rFonts w:cs="Arial"/>
          <w:color w:val="00B0F0"/>
        </w:rPr>
      </w:pPr>
      <w:r>
        <w:rPr>
          <w:rFonts w:cs="Arial"/>
          <w:color w:val="00B0F0"/>
        </w:rPr>
        <w:t xml:space="preserve">Terry T. Williams, “The Clan of One-Breasted Women” (122-130) </w:t>
      </w:r>
    </w:p>
    <w:p w:rsidR="00D4191B" w:rsidRDefault="00D4191B" w:rsidP="00D4191B">
      <w:pPr>
        <w:rPr>
          <w:rFonts w:cs="Arial"/>
        </w:rPr>
      </w:pPr>
      <w:r>
        <w:rPr>
          <w:rFonts w:cs="Arial"/>
          <w:color w:val="00B050"/>
        </w:rPr>
        <w:t>“Secret Cold War Tests” (D2L)</w:t>
      </w:r>
      <w:r>
        <w:rPr>
          <w:rFonts w:cs="Arial"/>
        </w:rPr>
        <w:t xml:space="preserve"> </w:t>
      </w:r>
    </w:p>
    <w:p w:rsidR="00D4191B" w:rsidRDefault="00D4191B" w:rsidP="00D4191B">
      <w:pPr>
        <w:rPr>
          <w:rFonts w:cs="Arial"/>
        </w:rPr>
      </w:pPr>
      <w:r>
        <w:rPr>
          <w:rFonts w:cs="Arial"/>
          <w:i/>
          <w:color w:val="C00000"/>
        </w:rPr>
        <w:t xml:space="preserve">LS </w:t>
      </w:r>
      <w:r>
        <w:rPr>
          <w:rFonts w:cs="Arial"/>
          <w:color w:val="C00000"/>
        </w:rPr>
        <w:t>“Arguments” (43-44)</w:t>
      </w:r>
    </w:p>
    <w:p w:rsidR="00D4191B" w:rsidRDefault="00D4191B" w:rsidP="00D4191B">
      <w:pPr>
        <w:rPr>
          <w:rFonts w:cs="Arial"/>
          <w:color w:val="00B050"/>
        </w:rPr>
      </w:pPr>
    </w:p>
    <w:p w:rsidR="00D4191B" w:rsidRDefault="00D4191B" w:rsidP="00D4191B">
      <w:pPr>
        <w:rPr>
          <w:rFonts w:cs="Arial"/>
          <w:color w:val="00B050"/>
        </w:rPr>
      </w:pPr>
    </w:p>
    <w:p w:rsidR="0088538B" w:rsidRPr="00C67767" w:rsidRDefault="0088538B" w:rsidP="0088538B">
      <w:r>
        <w:rPr>
          <w:b/>
        </w:rPr>
        <w:t>Week 5</w:t>
      </w:r>
      <w:r w:rsidR="006F1D50">
        <w:rPr>
          <w:b/>
        </w:rPr>
        <w:t xml:space="preserve"> </w:t>
      </w:r>
      <w:r>
        <w:t xml:space="preserve">(2/8–2/12)  </w:t>
      </w:r>
    </w:p>
    <w:p w:rsidR="00D4191B" w:rsidRDefault="00D4191B" w:rsidP="00D4191B">
      <w:pPr>
        <w:rPr>
          <w:rFonts w:cs="Arial"/>
        </w:rPr>
      </w:pPr>
      <w:r>
        <w:rPr>
          <w:b/>
          <w:highlight w:val="yellow"/>
        </w:rPr>
        <w:t xml:space="preserve">Nature Writing Essay (Parts I &amp; II) </w:t>
      </w:r>
      <w:r w:rsidR="00226F41">
        <w:rPr>
          <w:rFonts w:cs="Arial"/>
          <w:b/>
          <w:highlight w:val="yellow"/>
        </w:rPr>
        <w:t xml:space="preserve">Due Wednesday </w:t>
      </w:r>
      <w:r w:rsidR="00D143F1">
        <w:rPr>
          <w:rFonts w:cs="Arial"/>
          <w:b/>
          <w:highlight w:val="yellow"/>
        </w:rPr>
        <w:t>by</w:t>
      </w:r>
      <w:r w:rsidR="00226F41">
        <w:rPr>
          <w:rFonts w:cs="Arial"/>
          <w:b/>
          <w:highlight w:val="yellow"/>
        </w:rPr>
        <w:t xml:space="preserve"> Noon</w:t>
      </w:r>
    </w:p>
    <w:p w:rsidR="00D4191B" w:rsidRDefault="00D4191B" w:rsidP="00D4191B">
      <w:r>
        <w:t>Discuss Research Project &amp; Library Databases</w:t>
      </w:r>
    </w:p>
    <w:p w:rsidR="00D4191B" w:rsidRDefault="00D4191B" w:rsidP="00D4191B">
      <w:pPr>
        <w:rPr>
          <w:rFonts w:cs="Arial"/>
        </w:rPr>
      </w:pPr>
      <w:r>
        <w:rPr>
          <w:rFonts w:cs="Arial"/>
          <w:color w:val="00B0F0"/>
        </w:rPr>
        <w:t>Rachel Carson, “The Human Price” (113-122)</w:t>
      </w:r>
      <w:r>
        <w:rPr>
          <w:color w:val="00B050"/>
        </w:rPr>
        <w:t xml:space="preserve"> </w:t>
      </w:r>
    </w:p>
    <w:p w:rsidR="00D4191B" w:rsidRDefault="00D4191B" w:rsidP="00D4191B">
      <w:pPr>
        <w:rPr>
          <w:rFonts w:cs="Arial"/>
        </w:rPr>
      </w:pPr>
      <w:r>
        <w:rPr>
          <w:i/>
          <w:color w:val="C00000"/>
        </w:rPr>
        <w:t>LS</w:t>
      </w:r>
      <w:r>
        <w:rPr>
          <w:color w:val="C00000"/>
        </w:rPr>
        <w:t xml:space="preserve"> “Doing Research” – “Searching . . . Databases” (90-99) </w:t>
      </w:r>
    </w:p>
    <w:p w:rsidR="00D4191B" w:rsidRDefault="00D4191B" w:rsidP="00D4191B">
      <w:pPr>
        <w:rPr>
          <w:rFonts w:cs="Arial"/>
        </w:rPr>
      </w:pPr>
    </w:p>
    <w:p w:rsidR="00D4191B" w:rsidRDefault="00D4191B" w:rsidP="00D4191B">
      <w:pPr>
        <w:rPr>
          <w:rFonts w:cs="Arial"/>
        </w:rPr>
      </w:pPr>
    </w:p>
    <w:p w:rsidR="0088538B" w:rsidRPr="00C67767" w:rsidRDefault="0088538B" w:rsidP="0088538B">
      <w:r>
        <w:rPr>
          <w:b/>
        </w:rPr>
        <w:t>Week 6</w:t>
      </w:r>
      <w:r w:rsidR="006F1D50">
        <w:rPr>
          <w:b/>
        </w:rPr>
        <w:t xml:space="preserve"> </w:t>
      </w:r>
      <w:r>
        <w:t xml:space="preserve">(2/15–2/19)  </w:t>
      </w:r>
    </w:p>
    <w:p w:rsidR="00402310" w:rsidRDefault="00402310" w:rsidP="00402310">
      <w:pPr>
        <w:rPr>
          <w:rFonts w:cs="Arial"/>
        </w:rPr>
      </w:pPr>
      <w:r>
        <w:rPr>
          <w:rFonts w:cs="Arial"/>
        </w:rPr>
        <w:t xml:space="preserve">Aldo Leopold, </w:t>
      </w:r>
      <w:r>
        <w:rPr>
          <w:rFonts w:cs="Arial"/>
          <w:i/>
        </w:rPr>
        <w:t>A Sand County Almanac</w:t>
      </w:r>
      <w:r>
        <w:rPr>
          <w:rFonts w:cs="Arial"/>
        </w:rPr>
        <w:t>, “Part I: A Sand County Almanac” (vii-92)</w:t>
      </w:r>
    </w:p>
    <w:p w:rsidR="005E6119" w:rsidRPr="009E278B" w:rsidRDefault="005E6119" w:rsidP="005E6119">
      <w:pPr>
        <w:shd w:val="clear" w:color="auto" w:fill="FFFFFF"/>
        <w:rPr>
          <w:rFonts w:cs="Arial"/>
        </w:rPr>
      </w:pPr>
      <w:r w:rsidRPr="009E278B">
        <w:rPr>
          <w:rFonts w:cs="Arial"/>
          <w:highlight w:val="green"/>
        </w:rPr>
        <w:t xml:space="preserve">Discuss </w:t>
      </w:r>
      <w:r w:rsidRPr="009E278B">
        <w:rPr>
          <w:rFonts w:cs="Arial"/>
          <w:i/>
          <w:highlight w:val="green"/>
        </w:rPr>
        <w:t>A Sand County Almanac</w:t>
      </w:r>
      <w:r w:rsidRPr="009E278B">
        <w:rPr>
          <w:rFonts w:cs="Arial"/>
          <w:highlight w:val="green"/>
        </w:rPr>
        <w:t xml:space="preserve"> Review </w:t>
      </w:r>
      <w:r w:rsidRPr="00F872C9">
        <w:rPr>
          <w:rFonts w:cs="Arial"/>
          <w:highlight w:val="green"/>
        </w:rPr>
        <w:t>Essay</w:t>
      </w:r>
      <w:r w:rsidR="00F872C9" w:rsidRPr="00F872C9">
        <w:rPr>
          <w:rFonts w:cs="Arial"/>
          <w:highlight w:val="green"/>
        </w:rPr>
        <w:t xml:space="preserve"> </w:t>
      </w:r>
      <w:r w:rsidR="00F872C9" w:rsidRPr="00F872C9">
        <w:rPr>
          <w:rFonts w:cs="Arial"/>
          <w:b/>
          <w:highlight w:val="green"/>
        </w:rPr>
        <w:t>(Due any time before Week 15)</w:t>
      </w:r>
    </w:p>
    <w:p w:rsidR="00402310" w:rsidRDefault="00402310" w:rsidP="00402310">
      <w:pPr>
        <w:rPr>
          <w:rFonts w:cs="Arial"/>
        </w:rPr>
      </w:pPr>
      <w:r>
        <w:rPr>
          <w:rFonts w:cs="Arial"/>
        </w:rPr>
        <w:t>Discuss Annotated Bibliographies</w:t>
      </w:r>
    </w:p>
    <w:p w:rsidR="00402310" w:rsidRDefault="00402310" w:rsidP="00402310">
      <w:pPr>
        <w:rPr>
          <w:rFonts w:cs="Arial"/>
          <w:color w:val="C00000"/>
        </w:rPr>
      </w:pPr>
      <w:r>
        <w:rPr>
          <w:rFonts w:cs="Arial"/>
          <w:i/>
          <w:color w:val="C00000"/>
        </w:rPr>
        <w:t>LS</w:t>
      </w:r>
      <w:r>
        <w:rPr>
          <w:rFonts w:cs="Arial"/>
          <w:color w:val="C00000"/>
        </w:rPr>
        <w:t xml:space="preserve"> “Evaluating Sources” – “Paraphrasing” (102-112)</w:t>
      </w:r>
      <w:r>
        <w:rPr>
          <w:rFonts w:cs="Arial"/>
          <w:color w:val="C00000"/>
        </w:rPr>
        <w:tab/>
        <w:t xml:space="preserve"> </w:t>
      </w:r>
    </w:p>
    <w:p w:rsidR="00402310" w:rsidRDefault="00402310" w:rsidP="00402310">
      <w:pPr>
        <w:rPr>
          <w:rFonts w:cs="Arial"/>
        </w:rPr>
      </w:pPr>
    </w:p>
    <w:p w:rsidR="00402310" w:rsidRDefault="00402310" w:rsidP="00402310">
      <w:pPr>
        <w:rPr>
          <w:rFonts w:cs="Arial"/>
        </w:rPr>
      </w:pPr>
    </w:p>
    <w:p w:rsidR="0088538B" w:rsidRPr="00C67767" w:rsidRDefault="0088538B" w:rsidP="0088538B">
      <w:r>
        <w:rPr>
          <w:b/>
        </w:rPr>
        <w:t>Week 7</w:t>
      </w:r>
      <w:r w:rsidR="006F1D50">
        <w:rPr>
          <w:b/>
        </w:rPr>
        <w:t xml:space="preserve"> </w:t>
      </w:r>
      <w:r>
        <w:t xml:space="preserve">(2/22–2/26)  </w:t>
      </w:r>
    </w:p>
    <w:p w:rsidR="00402310" w:rsidRDefault="00776804" w:rsidP="00402310">
      <w:pPr>
        <w:rPr>
          <w:rFonts w:cs="Arial"/>
        </w:rPr>
      </w:pPr>
      <w:r>
        <w:rPr>
          <w:rFonts w:cs="Arial"/>
        </w:rPr>
        <w:t>A</w:t>
      </w:r>
      <w:r w:rsidR="00402310">
        <w:rPr>
          <w:rFonts w:cs="Arial"/>
        </w:rPr>
        <w:t xml:space="preserve">ldo Leopold, </w:t>
      </w:r>
      <w:r w:rsidR="00402310">
        <w:rPr>
          <w:rFonts w:cs="Arial"/>
          <w:i/>
        </w:rPr>
        <w:t>A Sand County Almanac</w:t>
      </w:r>
      <w:r w:rsidR="00402310">
        <w:rPr>
          <w:rFonts w:cs="Arial"/>
        </w:rPr>
        <w:t>, “Part II: Sketches Here and There” (95-162)</w:t>
      </w:r>
    </w:p>
    <w:p w:rsidR="00402310" w:rsidRDefault="00402310" w:rsidP="00402310">
      <w:pPr>
        <w:rPr>
          <w:rFonts w:cs="Arial"/>
        </w:rPr>
      </w:pPr>
    </w:p>
    <w:p w:rsidR="00402310" w:rsidRDefault="00402310" w:rsidP="00402310">
      <w:pPr>
        <w:rPr>
          <w:rFonts w:cs="Arial"/>
        </w:rPr>
      </w:pPr>
    </w:p>
    <w:p w:rsidR="0088538B" w:rsidRPr="00C67767" w:rsidRDefault="0088538B" w:rsidP="0088538B">
      <w:r>
        <w:rPr>
          <w:b/>
        </w:rPr>
        <w:t>Week 8</w:t>
      </w:r>
      <w:r w:rsidR="006F1D50">
        <w:rPr>
          <w:b/>
        </w:rPr>
        <w:t xml:space="preserve"> </w:t>
      </w:r>
      <w:r>
        <w:t xml:space="preserve">(3/1–3/5)  </w:t>
      </w:r>
    </w:p>
    <w:p w:rsidR="00402310" w:rsidRDefault="00402310" w:rsidP="00402310">
      <w:pPr>
        <w:rPr>
          <w:rFonts w:cs="Arial"/>
          <w:color w:val="00B050"/>
        </w:rPr>
      </w:pPr>
      <w:r>
        <w:rPr>
          <w:rFonts w:cs="Arial"/>
          <w:b/>
          <w:highlight w:val="yellow"/>
        </w:rPr>
        <w:t>One Practice Annotated Bib Entry Due</w:t>
      </w:r>
      <w:r w:rsidR="001B0E46">
        <w:rPr>
          <w:rFonts w:cs="Arial"/>
          <w:b/>
          <w:highlight w:val="yellow"/>
        </w:rPr>
        <w:t xml:space="preserve"> Wednesday </w:t>
      </w:r>
      <w:r w:rsidR="00D143F1">
        <w:rPr>
          <w:rFonts w:cs="Arial"/>
          <w:b/>
          <w:highlight w:val="yellow"/>
        </w:rPr>
        <w:t>by</w:t>
      </w:r>
      <w:r w:rsidR="001B0E46">
        <w:rPr>
          <w:rFonts w:cs="Arial"/>
          <w:b/>
          <w:highlight w:val="yellow"/>
        </w:rPr>
        <w:t xml:space="preserve"> Noon</w:t>
      </w:r>
      <w:r>
        <w:rPr>
          <w:rFonts w:cs="Arial"/>
          <w:highlight w:val="yellow"/>
        </w:rPr>
        <w:tab/>
      </w:r>
    </w:p>
    <w:p w:rsidR="00402310" w:rsidRDefault="00402310" w:rsidP="00402310">
      <w:pPr>
        <w:rPr>
          <w:rFonts w:cs="Arial"/>
        </w:rPr>
      </w:pPr>
      <w:r>
        <w:rPr>
          <w:rFonts w:cs="Arial"/>
        </w:rPr>
        <w:t>Aldo Leopold, Part III “Conservation Esthetic” (165-177)</w:t>
      </w:r>
    </w:p>
    <w:p w:rsidR="00402310" w:rsidRDefault="00402310" w:rsidP="00402310">
      <w:pPr>
        <w:rPr>
          <w:rFonts w:cs="Arial"/>
        </w:rPr>
      </w:pPr>
    </w:p>
    <w:p w:rsidR="00402310" w:rsidRDefault="00402310" w:rsidP="00402310">
      <w:pPr>
        <w:rPr>
          <w:rFonts w:cs="Arial"/>
          <w:color w:val="00B050"/>
        </w:rPr>
      </w:pPr>
    </w:p>
    <w:p w:rsidR="0088538B" w:rsidRPr="00C67767" w:rsidRDefault="0088538B" w:rsidP="0088538B">
      <w:r>
        <w:rPr>
          <w:b/>
        </w:rPr>
        <w:t>Week 9</w:t>
      </w:r>
      <w:r w:rsidR="006F1D50">
        <w:rPr>
          <w:b/>
        </w:rPr>
        <w:t xml:space="preserve"> </w:t>
      </w:r>
      <w:r>
        <w:t xml:space="preserve">(3/8–3/12)  </w:t>
      </w:r>
    </w:p>
    <w:p w:rsidR="00402310" w:rsidRDefault="00402310" w:rsidP="00402310">
      <w:pPr>
        <w:rPr>
          <w:rFonts w:cs="Arial"/>
        </w:rPr>
      </w:pPr>
      <w:r>
        <w:rPr>
          <w:rFonts w:cs="Arial"/>
        </w:rPr>
        <w:t>Leopold, Part III “Wildlife in American Culture” (177-187) &amp; “Wilderness” (188-200)</w:t>
      </w:r>
    </w:p>
    <w:p w:rsidR="00402310" w:rsidRDefault="00402310" w:rsidP="00402310">
      <w:pPr>
        <w:rPr>
          <w:rFonts w:cs="Arial"/>
          <w:color w:val="00B050"/>
        </w:rPr>
      </w:pPr>
    </w:p>
    <w:p w:rsidR="00402310" w:rsidRDefault="00402310" w:rsidP="00402310">
      <w:pPr>
        <w:rPr>
          <w:rFonts w:cs="Arial"/>
          <w:color w:val="00B050"/>
        </w:rPr>
      </w:pPr>
    </w:p>
    <w:p w:rsidR="0088538B" w:rsidRPr="00C67767" w:rsidRDefault="0088538B" w:rsidP="0088538B">
      <w:r>
        <w:rPr>
          <w:b/>
        </w:rPr>
        <w:t>Week 10</w:t>
      </w:r>
      <w:r w:rsidR="006F1D50">
        <w:rPr>
          <w:b/>
        </w:rPr>
        <w:t xml:space="preserve"> </w:t>
      </w:r>
      <w:r>
        <w:t xml:space="preserve">(3/15–3/19) </w:t>
      </w:r>
    </w:p>
    <w:p w:rsidR="00402310" w:rsidRDefault="00402310" w:rsidP="00402310">
      <w:pPr>
        <w:rPr>
          <w:rFonts w:cs="Arial"/>
        </w:rPr>
      </w:pPr>
      <w:r>
        <w:rPr>
          <w:rFonts w:cs="Arial"/>
          <w:b/>
          <w:highlight w:val="yellow"/>
        </w:rPr>
        <w:t xml:space="preserve">Completed Annotated Bib </w:t>
      </w:r>
      <w:r w:rsidRPr="007F71A3">
        <w:rPr>
          <w:rFonts w:cs="Arial"/>
          <w:b/>
          <w:highlight w:val="yellow"/>
        </w:rPr>
        <w:t xml:space="preserve">Due </w:t>
      </w:r>
      <w:r w:rsidR="001B0E46">
        <w:rPr>
          <w:rFonts w:cs="Arial"/>
          <w:b/>
          <w:highlight w:val="yellow"/>
        </w:rPr>
        <w:t xml:space="preserve">Wednesday </w:t>
      </w:r>
      <w:r w:rsidR="00D143F1">
        <w:rPr>
          <w:rFonts w:cs="Arial"/>
          <w:b/>
          <w:highlight w:val="yellow"/>
        </w:rPr>
        <w:t>by</w:t>
      </w:r>
      <w:r w:rsidR="001B0E46">
        <w:rPr>
          <w:rFonts w:cs="Arial"/>
          <w:b/>
          <w:highlight w:val="yellow"/>
        </w:rPr>
        <w:t xml:space="preserve"> Noon</w:t>
      </w:r>
    </w:p>
    <w:p w:rsidR="00402310" w:rsidRDefault="00402310" w:rsidP="00402310">
      <w:pPr>
        <w:rPr>
          <w:rFonts w:cs="Arial"/>
        </w:rPr>
      </w:pPr>
      <w:r>
        <w:rPr>
          <w:rFonts w:cs="Arial"/>
        </w:rPr>
        <w:t>Leopold, Part III “The Land Ethic” (201-226)</w:t>
      </w:r>
    </w:p>
    <w:p w:rsidR="00402310" w:rsidRDefault="00402310" w:rsidP="00402310">
      <w:pPr>
        <w:shd w:val="clear" w:color="auto" w:fill="FFFFFF"/>
        <w:rPr>
          <w:rFonts w:cs="Arial"/>
        </w:rPr>
      </w:pPr>
      <w:r>
        <w:rPr>
          <w:rFonts w:cs="Arial"/>
        </w:rPr>
        <w:t xml:space="preserve">Discuss Paper Proposals </w:t>
      </w:r>
    </w:p>
    <w:p w:rsidR="00402310" w:rsidRDefault="00402310" w:rsidP="00402310">
      <w:pPr>
        <w:shd w:val="clear" w:color="auto" w:fill="FFFFFF"/>
        <w:rPr>
          <w:rFonts w:cs="Arial"/>
        </w:rPr>
      </w:pPr>
      <w:r>
        <w:rPr>
          <w:rFonts w:cs="Arial"/>
          <w:i/>
          <w:color w:val="C00000"/>
        </w:rPr>
        <w:t>LS</w:t>
      </w:r>
      <w:r>
        <w:rPr>
          <w:rFonts w:cs="Arial"/>
          <w:color w:val="C00000"/>
        </w:rPr>
        <w:t xml:space="preserve"> “Proposals” (66-69)</w:t>
      </w:r>
    </w:p>
    <w:p w:rsidR="00402310" w:rsidRDefault="00402310" w:rsidP="00402310">
      <w:pPr>
        <w:rPr>
          <w:rFonts w:cs="Arial"/>
          <w:color w:val="BF8F00" w:themeColor="accent4" w:themeShade="BF"/>
        </w:rPr>
      </w:pPr>
    </w:p>
    <w:p w:rsidR="00402310" w:rsidRDefault="00402310" w:rsidP="00402310">
      <w:pPr>
        <w:rPr>
          <w:rFonts w:cs="Arial"/>
          <w:color w:val="BF8F00" w:themeColor="accent4" w:themeShade="BF"/>
        </w:rPr>
      </w:pPr>
    </w:p>
    <w:p w:rsidR="0088538B" w:rsidRDefault="0088538B" w:rsidP="0088538B">
      <w:r>
        <w:rPr>
          <w:b/>
        </w:rPr>
        <w:t>Week 11</w:t>
      </w:r>
      <w:r w:rsidR="006F1D50">
        <w:rPr>
          <w:b/>
        </w:rPr>
        <w:t xml:space="preserve"> </w:t>
      </w:r>
      <w:r>
        <w:t>(3/22–3/26)</w:t>
      </w:r>
    </w:p>
    <w:p w:rsidR="00402310" w:rsidRDefault="00402310" w:rsidP="00402310">
      <w:pPr>
        <w:rPr>
          <w:rFonts w:cs="Arial"/>
          <w:color w:val="00B0F0"/>
        </w:rPr>
      </w:pPr>
      <w:r>
        <w:rPr>
          <w:rFonts w:cs="Arial"/>
          <w:color w:val="00B0F0"/>
        </w:rPr>
        <w:t>Joy Williams, “One Acre: On Devaluating Real Estate to Keep Land Priceless” (95-105)</w:t>
      </w:r>
    </w:p>
    <w:p w:rsidR="00402310" w:rsidRDefault="00402310" w:rsidP="00402310">
      <w:pPr>
        <w:rPr>
          <w:rFonts w:cs="Arial"/>
          <w:color w:val="00B0F0"/>
        </w:rPr>
      </w:pPr>
      <w:r>
        <w:rPr>
          <w:rFonts w:cs="Arial"/>
          <w:color w:val="00B0F0"/>
        </w:rPr>
        <w:t>Sallie Bingham, “A Woman’s Land” (183-187)</w:t>
      </w:r>
    </w:p>
    <w:p w:rsidR="00402310" w:rsidRDefault="00402310" w:rsidP="00402310">
      <w:pPr>
        <w:rPr>
          <w:rFonts w:cs="Arial"/>
        </w:rPr>
      </w:pPr>
      <w:r>
        <w:rPr>
          <w:rFonts w:cs="Arial"/>
          <w:color w:val="C00000"/>
        </w:rPr>
        <w:t>“Acknowledging Sources” – “Avoiding Plagiarism” (116-118)</w:t>
      </w:r>
    </w:p>
    <w:p w:rsidR="00402310" w:rsidRDefault="00402310" w:rsidP="00402310">
      <w:pPr>
        <w:shd w:val="clear" w:color="auto" w:fill="FFFFFF"/>
        <w:rPr>
          <w:rFonts w:cs="Arial"/>
        </w:rPr>
      </w:pPr>
      <w:r>
        <w:rPr>
          <w:rFonts w:cs="Arial"/>
        </w:rPr>
        <w:t>Thesis workshop</w:t>
      </w:r>
    </w:p>
    <w:p w:rsidR="00402310" w:rsidRDefault="00402310" w:rsidP="00402310">
      <w:pPr>
        <w:shd w:val="clear" w:color="auto" w:fill="FFFFFF"/>
        <w:rPr>
          <w:rFonts w:cs="Arial"/>
        </w:rPr>
      </w:pPr>
    </w:p>
    <w:p w:rsidR="00402310" w:rsidRDefault="00402310" w:rsidP="00402310">
      <w:pPr>
        <w:shd w:val="clear" w:color="auto" w:fill="FFFFFF"/>
        <w:rPr>
          <w:rFonts w:cs="Arial"/>
          <w:color w:val="00B050"/>
        </w:rPr>
      </w:pPr>
    </w:p>
    <w:p w:rsidR="0088538B" w:rsidRPr="0072575F" w:rsidRDefault="0088538B" w:rsidP="0088538B">
      <w:r w:rsidRPr="0072575F">
        <w:rPr>
          <w:b/>
        </w:rPr>
        <w:t>Week 12</w:t>
      </w:r>
      <w:r w:rsidR="006F1D50">
        <w:rPr>
          <w:b/>
        </w:rPr>
        <w:t xml:space="preserve"> </w:t>
      </w:r>
      <w:r w:rsidRPr="0072575F">
        <w:t>(3/29–</w:t>
      </w:r>
      <w:r w:rsidR="00451906">
        <w:t>4</w:t>
      </w:r>
      <w:r w:rsidRPr="0072575F">
        <w:t xml:space="preserve">/2)  </w:t>
      </w:r>
    </w:p>
    <w:p w:rsidR="00226F41" w:rsidRPr="0072575F" w:rsidRDefault="00402310" w:rsidP="00402310">
      <w:pPr>
        <w:rPr>
          <w:rFonts w:cs="Arial"/>
          <w:color w:val="00B050"/>
          <w:highlight w:val="yellow"/>
        </w:rPr>
      </w:pPr>
      <w:r w:rsidRPr="0072575F">
        <w:rPr>
          <w:rFonts w:cs="Arial"/>
          <w:b/>
          <w:highlight w:val="yellow"/>
        </w:rPr>
        <w:t xml:space="preserve">Paper Proposal </w:t>
      </w:r>
      <w:r w:rsidR="00226F41" w:rsidRPr="0072575F">
        <w:rPr>
          <w:rFonts w:cs="Arial"/>
          <w:b/>
          <w:highlight w:val="yellow"/>
        </w:rPr>
        <w:t xml:space="preserve">Due Wednesday </w:t>
      </w:r>
      <w:r w:rsidR="00D143F1" w:rsidRPr="0072575F">
        <w:rPr>
          <w:rFonts w:cs="Arial"/>
          <w:b/>
          <w:highlight w:val="yellow"/>
        </w:rPr>
        <w:t>by</w:t>
      </w:r>
      <w:r w:rsidR="00226F41" w:rsidRPr="0072575F">
        <w:rPr>
          <w:rFonts w:cs="Arial"/>
          <w:b/>
          <w:highlight w:val="yellow"/>
        </w:rPr>
        <w:t xml:space="preserve"> Noon</w:t>
      </w:r>
      <w:r w:rsidR="00226F41" w:rsidRPr="0072575F">
        <w:rPr>
          <w:rFonts w:cs="Arial"/>
          <w:color w:val="00B050"/>
          <w:highlight w:val="yellow"/>
        </w:rPr>
        <w:t xml:space="preserve"> </w:t>
      </w:r>
    </w:p>
    <w:p w:rsidR="00402310" w:rsidRDefault="00402310" w:rsidP="00402310">
      <w:pPr>
        <w:rPr>
          <w:rFonts w:cs="Arial"/>
          <w:color w:val="00B050"/>
        </w:rPr>
      </w:pPr>
    </w:p>
    <w:p w:rsidR="00402310" w:rsidRDefault="00402310" w:rsidP="00402310">
      <w:pPr>
        <w:rPr>
          <w:rFonts w:cs="Arial"/>
          <w:color w:val="00B050"/>
        </w:rPr>
      </w:pPr>
    </w:p>
    <w:p w:rsidR="0088538B" w:rsidRPr="00C67767" w:rsidRDefault="0088538B" w:rsidP="0088538B">
      <w:r w:rsidRPr="0045410D">
        <w:rPr>
          <w:b/>
        </w:rPr>
        <w:t>Week 13</w:t>
      </w:r>
      <w:r w:rsidR="006F1D50">
        <w:rPr>
          <w:b/>
        </w:rPr>
        <w:t xml:space="preserve"> </w:t>
      </w:r>
      <w:r>
        <w:t xml:space="preserve">(4/5–4/9)  </w:t>
      </w:r>
    </w:p>
    <w:p w:rsidR="00402310" w:rsidRDefault="00402310" w:rsidP="00402310">
      <w:pPr>
        <w:rPr>
          <w:rFonts w:cs="Arial"/>
          <w:color w:val="C00000"/>
        </w:rPr>
      </w:pPr>
      <w:r>
        <w:rPr>
          <w:rFonts w:cs="Arial"/>
          <w:color w:val="C00000"/>
        </w:rPr>
        <w:t xml:space="preserve">Review </w:t>
      </w:r>
      <w:r>
        <w:rPr>
          <w:rFonts w:cs="Arial"/>
          <w:i/>
          <w:color w:val="C00000"/>
        </w:rPr>
        <w:t>LS</w:t>
      </w:r>
      <w:r>
        <w:rPr>
          <w:rFonts w:cs="Arial"/>
          <w:color w:val="C00000"/>
        </w:rPr>
        <w:t xml:space="preserve"> “In-Text Documentation” (122-128)</w:t>
      </w:r>
    </w:p>
    <w:p w:rsidR="0072575F" w:rsidRPr="0072575F" w:rsidRDefault="0072575F" w:rsidP="0072575F">
      <w:pPr>
        <w:rPr>
          <w:rFonts w:cs="Arial"/>
        </w:rPr>
      </w:pPr>
      <w:r w:rsidRPr="0072575F">
        <w:rPr>
          <w:rFonts w:cs="Arial"/>
          <w:color w:val="00B050"/>
        </w:rPr>
        <w:t>Gary Snyder, “Four Changes” (D2L)</w:t>
      </w:r>
    </w:p>
    <w:p w:rsidR="0072575F" w:rsidRDefault="0072575F" w:rsidP="0072575F">
      <w:pPr>
        <w:rPr>
          <w:rFonts w:cs="Arial"/>
          <w:b/>
          <w:color w:val="00B0F0"/>
        </w:rPr>
      </w:pPr>
      <w:r w:rsidRPr="0072575F">
        <w:rPr>
          <w:rFonts w:cs="Arial"/>
          <w:color w:val="00B0F0"/>
        </w:rPr>
        <w:t>Barry Lopez, “Caring for the Woods” (35-41)</w:t>
      </w:r>
    </w:p>
    <w:p w:rsidR="00402310" w:rsidRDefault="00402310" w:rsidP="00402310">
      <w:pPr>
        <w:shd w:val="clear" w:color="auto" w:fill="FFFFFF"/>
        <w:rPr>
          <w:rFonts w:cs="Arial"/>
        </w:rPr>
      </w:pPr>
    </w:p>
    <w:p w:rsidR="00402310" w:rsidRDefault="00402310" w:rsidP="00402310">
      <w:pPr>
        <w:shd w:val="clear" w:color="auto" w:fill="FFFFFF"/>
        <w:rPr>
          <w:rFonts w:cs="Arial"/>
        </w:rPr>
      </w:pPr>
    </w:p>
    <w:p w:rsidR="0088538B" w:rsidRPr="00C67767" w:rsidRDefault="0088538B" w:rsidP="0088538B">
      <w:r>
        <w:rPr>
          <w:b/>
        </w:rPr>
        <w:t>Week 14</w:t>
      </w:r>
      <w:r w:rsidR="006F1D50">
        <w:rPr>
          <w:b/>
        </w:rPr>
        <w:t xml:space="preserve"> </w:t>
      </w:r>
      <w:r>
        <w:t xml:space="preserve">(4/12–4/16)  </w:t>
      </w:r>
    </w:p>
    <w:p w:rsidR="00F872C9" w:rsidRPr="00AD2A02" w:rsidRDefault="00F872C9" w:rsidP="00F872C9">
      <w:pPr>
        <w:rPr>
          <w:b/>
        </w:rPr>
      </w:pPr>
      <w:r w:rsidRPr="00AD2A02">
        <w:rPr>
          <w:b/>
          <w:i/>
          <w:highlight w:val="yellow"/>
        </w:rPr>
        <w:t>Sand County Review</w:t>
      </w:r>
      <w:r w:rsidRPr="00AD2A02">
        <w:rPr>
          <w:b/>
          <w:highlight w:val="yellow"/>
        </w:rPr>
        <w:t xml:space="preserve"> Essay </w:t>
      </w:r>
      <w:r w:rsidRPr="00D143F1">
        <w:rPr>
          <w:b/>
          <w:highlight w:val="yellow"/>
        </w:rPr>
        <w:t>Due</w:t>
      </w:r>
      <w:r w:rsidR="00D143F1" w:rsidRPr="00D143F1">
        <w:rPr>
          <w:b/>
          <w:highlight w:val="yellow"/>
        </w:rPr>
        <w:t xml:space="preserve"> </w:t>
      </w:r>
      <w:r w:rsidR="00D143F1">
        <w:rPr>
          <w:b/>
          <w:highlight w:val="yellow"/>
        </w:rPr>
        <w:t>by</w:t>
      </w:r>
      <w:r w:rsidR="00D143F1" w:rsidRPr="00D143F1">
        <w:rPr>
          <w:b/>
          <w:highlight w:val="yellow"/>
        </w:rPr>
        <w:t xml:space="preserve"> </w:t>
      </w:r>
      <w:r w:rsidR="00D143F1" w:rsidRPr="00F12792">
        <w:rPr>
          <w:b/>
          <w:highlight w:val="yellow"/>
        </w:rPr>
        <w:t>Noon</w:t>
      </w:r>
      <w:r w:rsidR="00F12792" w:rsidRPr="00F12792">
        <w:rPr>
          <w:b/>
          <w:highlight w:val="yellow"/>
        </w:rPr>
        <w:t xml:space="preserve"> Wednesday</w:t>
      </w:r>
    </w:p>
    <w:p w:rsidR="0072575F" w:rsidRDefault="0072575F" w:rsidP="0072575F">
      <w:pPr>
        <w:rPr>
          <w:rFonts w:cs="Arial"/>
          <w:color w:val="00B0F0"/>
        </w:rPr>
      </w:pPr>
      <w:r>
        <w:rPr>
          <w:rFonts w:cs="Arial"/>
          <w:color w:val="00B0F0"/>
        </w:rPr>
        <w:t xml:space="preserve">Edward O. Wilson, “The Environmental Ethic” (198-207) </w:t>
      </w:r>
    </w:p>
    <w:p w:rsidR="00402310" w:rsidRDefault="00402310" w:rsidP="00402310">
      <w:pPr>
        <w:shd w:val="clear" w:color="auto" w:fill="FFFFFF"/>
        <w:rPr>
          <w:rFonts w:cs="Arial"/>
        </w:rPr>
      </w:pPr>
    </w:p>
    <w:p w:rsidR="00F872C9" w:rsidRDefault="00F872C9" w:rsidP="00402310">
      <w:pPr>
        <w:shd w:val="clear" w:color="auto" w:fill="FFFFFF"/>
        <w:rPr>
          <w:rFonts w:cs="Arial"/>
        </w:rPr>
      </w:pPr>
    </w:p>
    <w:p w:rsidR="0072575F" w:rsidRDefault="0072575F" w:rsidP="0072575F">
      <w:r>
        <w:rPr>
          <w:b/>
        </w:rPr>
        <w:t>Week 15</w:t>
      </w:r>
      <w:r w:rsidR="006F1D50">
        <w:rPr>
          <w:b/>
        </w:rPr>
        <w:t xml:space="preserve"> </w:t>
      </w:r>
      <w:r>
        <w:t xml:space="preserve">(4/19–4/23) </w:t>
      </w:r>
    </w:p>
    <w:p w:rsidR="00402310" w:rsidRDefault="00402310" w:rsidP="00402310">
      <w:pPr>
        <w:rPr>
          <w:rFonts w:cs="Arial"/>
          <w:color w:val="C00000"/>
        </w:rPr>
      </w:pPr>
      <w:r>
        <w:rPr>
          <w:rFonts w:cs="Arial"/>
          <w:i/>
          <w:color w:val="C00000"/>
        </w:rPr>
        <w:t>LS</w:t>
      </w:r>
      <w:r>
        <w:rPr>
          <w:rFonts w:cs="Arial"/>
          <w:color w:val="C00000"/>
        </w:rPr>
        <w:t xml:space="preserve"> “Rhetorical Analysis” (49-53) </w:t>
      </w:r>
    </w:p>
    <w:p w:rsidR="003F7853" w:rsidRDefault="003F7853" w:rsidP="003F7853">
      <w:pPr>
        <w:shd w:val="clear" w:color="auto" w:fill="FFFFFF"/>
        <w:rPr>
          <w:rFonts w:cs="Arial"/>
        </w:rPr>
      </w:pPr>
      <w:r>
        <w:rPr>
          <w:rFonts w:cs="Arial"/>
        </w:rPr>
        <w:t>Final draft workshop</w:t>
      </w:r>
    </w:p>
    <w:p w:rsidR="00D4191B" w:rsidRDefault="00D4191B" w:rsidP="00D4191B">
      <w:pPr>
        <w:shd w:val="clear" w:color="auto" w:fill="FFFFFF"/>
      </w:pPr>
    </w:p>
    <w:p w:rsidR="00D4191B" w:rsidRDefault="00D4191B" w:rsidP="00D4191B"/>
    <w:p w:rsidR="0072575F" w:rsidRPr="00C67767" w:rsidRDefault="0072575F" w:rsidP="0072575F">
      <w:r w:rsidRPr="00F82900">
        <w:rPr>
          <w:b/>
        </w:rPr>
        <w:t>Week 16</w:t>
      </w:r>
      <w:r w:rsidR="006F1D50">
        <w:rPr>
          <w:b/>
        </w:rPr>
        <w:t xml:space="preserve"> </w:t>
      </w:r>
      <w:bookmarkStart w:id="0" w:name="_GoBack"/>
      <w:bookmarkEnd w:id="0"/>
      <w:r>
        <w:t xml:space="preserve">(Finals Week) </w:t>
      </w:r>
    </w:p>
    <w:p w:rsidR="00544ED2" w:rsidRPr="003F7853" w:rsidRDefault="000763BA" w:rsidP="003F7853">
      <w:pPr>
        <w:shd w:val="clear" w:color="auto" w:fill="FFFFFF"/>
        <w:rPr>
          <w:rFonts w:cs="Arial"/>
        </w:rPr>
      </w:pPr>
      <w:r>
        <w:rPr>
          <w:rFonts w:cs="Arial"/>
          <w:b/>
          <w:highlight w:val="yellow"/>
        </w:rPr>
        <w:t>Research Paper Due TBA</w:t>
      </w:r>
    </w:p>
    <w:p w:rsidR="00F5018A" w:rsidRDefault="00F5018A" w:rsidP="009312C3">
      <w:pPr>
        <w:shd w:val="clear" w:color="auto" w:fill="FFFFFF"/>
      </w:pPr>
    </w:p>
    <w:p w:rsidR="0052365E" w:rsidRPr="00FC0891" w:rsidRDefault="0052365E" w:rsidP="0052365E">
      <w:pPr>
        <w:shd w:val="clear" w:color="auto" w:fill="FFFFFF"/>
        <w:rPr>
          <w:rFonts w:cs="Arial"/>
        </w:rPr>
      </w:pPr>
    </w:p>
    <w:p w:rsidR="006E12C5" w:rsidRDefault="006E12C5" w:rsidP="006E12C5">
      <w:pPr>
        <w:rPr>
          <w:rFonts w:cs="Arial"/>
          <w:color w:val="00B050"/>
        </w:rPr>
      </w:pPr>
    </w:p>
    <w:p w:rsidR="006E12C5" w:rsidRDefault="006E12C5" w:rsidP="006E12C5">
      <w:pPr>
        <w:rPr>
          <w:rFonts w:cs="Arial"/>
          <w:color w:val="00B050"/>
        </w:rPr>
      </w:pPr>
    </w:p>
    <w:p w:rsidR="00565B29" w:rsidRPr="00C67767" w:rsidRDefault="00565B29" w:rsidP="00565B29"/>
    <w:p w:rsidR="00814838" w:rsidRDefault="00814838" w:rsidP="00397D71">
      <w:pPr>
        <w:shd w:val="clear" w:color="auto" w:fill="FFFFFF"/>
        <w:rPr>
          <w:rFonts w:cs="Arial"/>
          <w:color w:val="00B050"/>
        </w:rPr>
      </w:pPr>
    </w:p>
    <w:sectPr w:rsidR="0081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5D08"/>
    <w:multiLevelType w:val="hybridMultilevel"/>
    <w:tmpl w:val="D30AD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96AD1"/>
    <w:multiLevelType w:val="hybridMultilevel"/>
    <w:tmpl w:val="596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61A02"/>
    <w:multiLevelType w:val="hybridMultilevel"/>
    <w:tmpl w:val="DC040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247B1"/>
    <w:multiLevelType w:val="hybridMultilevel"/>
    <w:tmpl w:val="11E60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11B2B"/>
    <w:multiLevelType w:val="hybridMultilevel"/>
    <w:tmpl w:val="5CE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2425D"/>
    <w:multiLevelType w:val="hybridMultilevel"/>
    <w:tmpl w:val="6CD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A6397"/>
    <w:multiLevelType w:val="hybridMultilevel"/>
    <w:tmpl w:val="3D32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E376F9"/>
    <w:multiLevelType w:val="hybridMultilevel"/>
    <w:tmpl w:val="06A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E0B13"/>
    <w:multiLevelType w:val="hybridMultilevel"/>
    <w:tmpl w:val="DF3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12E55"/>
    <w:multiLevelType w:val="hybridMultilevel"/>
    <w:tmpl w:val="3B103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22B"/>
    <w:multiLevelType w:val="hybridMultilevel"/>
    <w:tmpl w:val="4E50E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num>
  <w:num w:numId="2">
    <w:abstractNumId w:val="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8"/>
  </w:num>
  <w:num w:numId="8">
    <w:abstractNumId w:val="0"/>
  </w:num>
  <w:num w:numId="9">
    <w:abstractNumId w:val="3"/>
  </w:num>
  <w:num w:numId="10">
    <w:abstractNumId w:val="4"/>
  </w:num>
  <w:num w:numId="11">
    <w:abstractNumId w:val="10"/>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28"/>
    <w:rsid w:val="000165D1"/>
    <w:rsid w:val="00017715"/>
    <w:rsid w:val="00020263"/>
    <w:rsid w:val="000326C0"/>
    <w:rsid w:val="00043B45"/>
    <w:rsid w:val="00060F64"/>
    <w:rsid w:val="00073DA3"/>
    <w:rsid w:val="00073EB4"/>
    <w:rsid w:val="000763BA"/>
    <w:rsid w:val="00086EF1"/>
    <w:rsid w:val="000B7C36"/>
    <w:rsid w:val="000C07A7"/>
    <w:rsid w:val="000C112E"/>
    <w:rsid w:val="000C41C8"/>
    <w:rsid w:val="000C6CB5"/>
    <w:rsid w:val="000D11C6"/>
    <w:rsid w:val="000D29C8"/>
    <w:rsid w:val="000E2B33"/>
    <w:rsid w:val="000E371E"/>
    <w:rsid w:val="000E6D11"/>
    <w:rsid w:val="00101947"/>
    <w:rsid w:val="00104D41"/>
    <w:rsid w:val="00105D9A"/>
    <w:rsid w:val="0011124B"/>
    <w:rsid w:val="001332AE"/>
    <w:rsid w:val="00142952"/>
    <w:rsid w:val="00153A60"/>
    <w:rsid w:val="00157A7F"/>
    <w:rsid w:val="00160171"/>
    <w:rsid w:val="00165710"/>
    <w:rsid w:val="00184933"/>
    <w:rsid w:val="0018789D"/>
    <w:rsid w:val="00192CFE"/>
    <w:rsid w:val="00196A51"/>
    <w:rsid w:val="001A0303"/>
    <w:rsid w:val="001B0E46"/>
    <w:rsid w:val="001E19A7"/>
    <w:rsid w:val="001E4B4A"/>
    <w:rsid w:val="001E7D68"/>
    <w:rsid w:val="001F04CA"/>
    <w:rsid w:val="001F1040"/>
    <w:rsid w:val="001F73AE"/>
    <w:rsid w:val="001F7867"/>
    <w:rsid w:val="00200A23"/>
    <w:rsid w:val="002030DC"/>
    <w:rsid w:val="00226017"/>
    <w:rsid w:val="00226F41"/>
    <w:rsid w:val="00227A41"/>
    <w:rsid w:val="00241037"/>
    <w:rsid w:val="00253B1A"/>
    <w:rsid w:val="00283EDC"/>
    <w:rsid w:val="00296E28"/>
    <w:rsid w:val="002D39EA"/>
    <w:rsid w:val="002D7046"/>
    <w:rsid w:val="002F3F40"/>
    <w:rsid w:val="00305AAF"/>
    <w:rsid w:val="00307382"/>
    <w:rsid w:val="00310E62"/>
    <w:rsid w:val="00315673"/>
    <w:rsid w:val="00327114"/>
    <w:rsid w:val="00330F03"/>
    <w:rsid w:val="0034494E"/>
    <w:rsid w:val="00346F94"/>
    <w:rsid w:val="0035070C"/>
    <w:rsid w:val="0035771C"/>
    <w:rsid w:val="00361F38"/>
    <w:rsid w:val="00371764"/>
    <w:rsid w:val="00376B98"/>
    <w:rsid w:val="00384F17"/>
    <w:rsid w:val="0039101D"/>
    <w:rsid w:val="0039103D"/>
    <w:rsid w:val="00391BFA"/>
    <w:rsid w:val="00393F64"/>
    <w:rsid w:val="00397D71"/>
    <w:rsid w:val="003C1305"/>
    <w:rsid w:val="003C6204"/>
    <w:rsid w:val="003C7229"/>
    <w:rsid w:val="003D011D"/>
    <w:rsid w:val="003D779E"/>
    <w:rsid w:val="003E4414"/>
    <w:rsid w:val="003F7853"/>
    <w:rsid w:val="00402310"/>
    <w:rsid w:val="00415751"/>
    <w:rsid w:val="004179F6"/>
    <w:rsid w:val="00420A8E"/>
    <w:rsid w:val="00424F20"/>
    <w:rsid w:val="00425C10"/>
    <w:rsid w:val="00427BEB"/>
    <w:rsid w:val="004344ED"/>
    <w:rsid w:val="00437544"/>
    <w:rsid w:val="00442B05"/>
    <w:rsid w:val="00451906"/>
    <w:rsid w:val="00454FB2"/>
    <w:rsid w:val="00460739"/>
    <w:rsid w:val="00465813"/>
    <w:rsid w:val="004662DE"/>
    <w:rsid w:val="00474C05"/>
    <w:rsid w:val="00480C36"/>
    <w:rsid w:val="0048314C"/>
    <w:rsid w:val="00484AD9"/>
    <w:rsid w:val="00490E75"/>
    <w:rsid w:val="004D5590"/>
    <w:rsid w:val="004D7641"/>
    <w:rsid w:val="004E0FC2"/>
    <w:rsid w:val="004F0DAA"/>
    <w:rsid w:val="004F4AC8"/>
    <w:rsid w:val="00507C75"/>
    <w:rsid w:val="00514554"/>
    <w:rsid w:val="005147E8"/>
    <w:rsid w:val="0052365E"/>
    <w:rsid w:val="00525828"/>
    <w:rsid w:val="0053115B"/>
    <w:rsid w:val="005334B6"/>
    <w:rsid w:val="00544ED2"/>
    <w:rsid w:val="0055079F"/>
    <w:rsid w:val="005571F5"/>
    <w:rsid w:val="0056444C"/>
    <w:rsid w:val="00565B29"/>
    <w:rsid w:val="00566D54"/>
    <w:rsid w:val="0056713A"/>
    <w:rsid w:val="0057702B"/>
    <w:rsid w:val="00581418"/>
    <w:rsid w:val="005955B9"/>
    <w:rsid w:val="005A1357"/>
    <w:rsid w:val="005A4BE2"/>
    <w:rsid w:val="005B4C03"/>
    <w:rsid w:val="005B54C3"/>
    <w:rsid w:val="005C3939"/>
    <w:rsid w:val="005E0D9D"/>
    <w:rsid w:val="005E6119"/>
    <w:rsid w:val="005F73E8"/>
    <w:rsid w:val="00604C22"/>
    <w:rsid w:val="006138E6"/>
    <w:rsid w:val="00621D1B"/>
    <w:rsid w:val="00650B6C"/>
    <w:rsid w:val="00651391"/>
    <w:rsid w:val="00654960"/>
    <w:rsid w:val="00665C17"/>
    <w:rsid w:val="00666F36"/>
    <w:rsid w:val="00683A53"/>
    <w:rsid w:val="00694734"/>
    <w:rsid w:val="006A1270"/>
    <w:rsid w:val="006A59BE"/>
    <w:rsid w:val="006A64F6"/>
    <w:rsid w:val="006B5341"/>
    <w:rsid w:val="006C3167"/>
    <w:rsid w:val="006C770C"/>
    <w:rsid w:val="006D0524"/>
    <w:rsid w:val="006D55DA"/>
    <w:rsid w:val="006E12C5"/>
    <w:rsid w:val="006E28CD"/>
    <w:rsid w:val="006F1D50"/>
    <w:rsid w:val="00707AC1"/>
    <w:rsid w:val="007239AF"/>
    <w:rsid w:val="0072575F"/>
    <w:rsid w:val="00735ED5"/>
    <w:rsid w:val="00742D99"/>
    <w:rsid w:val="00754BA2"/>
    <w:rsid w:val="00760ADA"/>
    <w:rsid w:val="00762965"/>
    <w:rsid w:val="007724BE"/>
    <w:rsid w:val="00774591"/>
    <w:rsid w:val="00776804"/>
    <w:rsid w:val="0078018D"/>
    <w:rsid w:val="007A21A7"/>
    <w:rsid w:val="007A580D"/>
    <w:rsid w:val="007B3EDC"/>
    <w:rsid w:val="007D5AA9"/>
    <w:rsid w:val="007F602E"/>
    <w:rsid w:val="007F7F8F"/>
    <w:rsid w:val="008035C5"/>
    <w:rsid w:val="00811C31"/>
    <w:rsid w:val="00814838"/>
    <w:rsid w:val="00817A2B"/>
    <w:rsid w:val="008361C5"/>
    <w:rsid w:val="00840B56"/>
    <w:rsid w:val="00854385"/>
    <w:rsid w:val="008547EF"/>
    <w:rsid w:val="00860FFE"/>
    <w:rsid w:val="008635EA"/>
    <w:rsid w:val="00865FB9"/>
    <w:rsid w:val="008746ED"/>
    <w:rsid w:val="0088538B"/>
    <w:rsid w:val="008A70B6"/>
    <w:rsid w:val="008B145E"/>
    <w:rsid w:val="008C16FF"/>
    <w:rsid w:val="008C1910"/>
    <w:rsid w:val="008C2483"/>
    <w:rsid w:val="008C3BFA"/>
    <w:rsid w:val="008D1C87"/>
    <w:rsid w:val="008D4ABD"/>
    <w:rsid w:val="008F2633"/>
    <w:rsid w:val="008F4C09"/>
    <w:rsid w:val="008F61FA"/>
    <w:rsid w:val="00912B84"/>
    <w:rsid w:val="009312C3"/>
    <w:rsid w:val="009319ED"/>
    <w:rsid w:val="009409B4"/>
    <w:rsid w:val="0094168A"/>
    <w:rsid w:val="009462F1"/>
    <w:rsid w:val="00954563"/>
    <w:rsid w:val="009601D9"/>
    <w:rsid w:val="009822E2"/>
    <w:rsid w:val="00997F55"/>
    <w:rsid w:val="009A06DD"/>
    <w:rsid w:val="009A3904"/>
    <w:rsid w:val="009A573B"/>
    <w:rsid w:val="009B50D7"/>
    <w:rsid w:val="009C46BF"/>
    <w:rsid w:val="009C5F7F"/>
    <w:rsid w:val="009C6EE0"/>
    <w:rsid w:val="009D5D43"/>
    <w:rsid w:val="009E278B"/>
    <w:rsid w:val="009E2E35"/>
    <w:rsid w:val="009F1055"/>
    <w:rsid w:val="009F4A92"/>
    <w:rsid w:val="00A04175"/>
    <w:rsid w:val="00A110BD"/>
    <w:rsid w:val="00A15285"/>
    <w:rsid w:val="00A20145"/>
    <w:rsid w:val="00A37E52"/>
    <w:rsid w:val="00A46405"/>
    <w:rsid w:val="00A6500D"/>
    <w:rsid w:val="00A73D86"/>
    <w:rsid w:val="00A7733C"/>
    <w:rsid w:val="00A804BE"/>
    <w:rsid w:val="00A80C18"/>
    <w:rsid w:val="00A9254E"/>
    <w:rsid w:val="00A96757"/>
    <w:rsid w:val="00AA3C9A"/>
    <w:rsid w:val="00AA69BE"/>
    <w:rsid w:val="00AB36DD"/>
    <w:rsid w:val="00AD2A02"/>
    <w:rsid w:val="00AD7631"/>
    <w:rsid w:val="00AF2CAE"/>
    <w:rsid w:val="00B03365"/>
    <w:rsid w:val="00B10C5E"/>
    <w:rsid w:val="00B12EBD"/>
    <w:rsid w:val="00B31155"/>
    <w:rsid w:val="00B347EE"/>
    <w:rsid w:val="00B415E3"/>
    <w:rsid w:val="00B53729"/>
    <w:rsid w:val="00B77866"/>
    <w:rsid w:val="00BA7501"/>
    <w:rsid w:val="00BB4E18"/>
    <w:rsid w:val="00BB4EB0"/>
    <w:rsid w:val="00BC355B"/>
    <w:rsid w:val="00BD3CEE"/>
    <w:rsid w:val="00BE4DE2"/>
    <w:rsid w:val="00BF0543"/>
    <w:rsid w:val="00C36417"/>
    <w:rsid w:val="00C375AD"/>
    <w:rsid w:val="00C4044B"/>
    <w:rsid w:val="00C74F6E"/>
    <w:rsid w:val="00C76419"/>
    <w:rsid w:val="00C82D10"/>
    <w:rsid w:val="00C83819"/>
    <w:rsid w:val="00C911E0"/>
    <w:rsid w:val="00CA0629"/>
    <w:rsid w:val="00CA0EE1"/>
    <w:rsid w:val="00CD03DA"/>
    <w:rsid w:val="00CD4531"/>
    <w:rsid w:val="00CD598A"/>
    <w:rsid w:val="00CD6824"/>
    <w:rsid w:val="00CE72D9"/>
    <w:rsid w:val="00D143F1"/>
    <w:rsid w:val="00D21859"/>
    <w:rsid w:val="00D30334"/>
    <w:rsid w:val="00D362C0"/>
    <w:rsid w:val="00D4191B"/>
    <w:rsid w:val="00D5566F"/>
    <w:rsid w:val="00D62AE8"/>
    <w:rsid w:val="00D73D72"/>
    <w:rsid w:val="00D74D09"/>
    <w:rsid w:val="00D9296A"/>
    <w:rsid w:val="00D95E23"/>
    <w:rsid w:val="00DD53C8"/>
    <w:rsid w:val="00DD5B3F"/>
    <w:rsid w:val="00DE0AFD"/>
    <w:rsid w:val="00DE20C9"/>
    <w:rsid w:val="00DE5788"/>
    <w:rsid w:val="00E227A1"/>
    <w:rsid w:val="00E25A1F"/>
    <w:rsid w:val="00E409D2"/>
    <w:rsid w:val="00E51337"/>
    <w:rsid w:val="00E54949"/>
    <w:rsid w:val="00E57154"/>
    <w:rsid w:val="00E619F2"/>
    <w:rsid w:val="00E61EFA"/>
    <w:rsid w:val="00E6760F"/>
    <w:rsid w:val="00E72466"/>
    <w:rsid w:val="00EA14E3"/>
    <w:rsid w:val="00EA53B5"/>
    <w:rsid w:val="00EB5E9F"/>
    <w:rsid w:val="00EC14B1"/>
    <w:rsid w:val="00EC4938"/>
    <w:rsid w:val="00EC79D3"/>
    <w:rsid w:val="00EE4460"/>
    <w:rsid w:val="00EF00B5"/>
    <w:rsid w:val="00EF04A1"/>
    <w:rsid w:val="00EF5766"/>
    <w:rsid w:val="00F11922"/>
    <w:rsid w:val="00F12792"/>
    <w:rsid w:val="00F13DD4"/>
    <w:rsid w:val="00F179DA"/>
    <w:rsid w:val="00F21A9D"/>
    <w:rsid w:val="00F23D54"/>
    <w:rsid w:val="00F24A57"/>
    <w:rsid w:val="00F305B0"/>
    <w:rsid w:val="00F3377B"/>
    <w:rsid w:val="00F422D8"/>
    <w:rsid w:val="00F43CD5"/>
    <w:rsid w:val="00F44815"/>
    <w:rsid w:val="00F5018A"/>
    <w:rsid w:val="00F51CDD"/>
    <w:rsid w:val="00F6645C"/>
    <w:rsid w:val="00F750C8"/>
    <w:rsid w:val="00F872C9"/>
    <w:rsid w:val="00FB011A"/>
    <w:rsid w:val="00FB3C15"/>
    <w:rsid w:val="00FC0891"/>
    <w:rsid w:val="00FC1DB6"/>
    <w:rsid w:val="00FC38C3"/>
    <w:rsid w:val="00FC7928"/>
    <w:rsid w:val="00FD1BCB"/>
    <w:rsid w:val="00FD2A3F"/>
    <w:rsid w:val="00FD3C91"/>
    <w:rsid w:val="00FD4D18"/>
    <w:rsid w:val="00FE1124"/>
    <w:rsid w:val="00FE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F015486-254C-4E91-B020-5E97D3A8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FE"/>
    <w:pPr>
      <w:spacing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60FFE"/>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60FF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C74F6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828"/>
    <w:rPr>
      <w:color w:val="0563C1" w:themeColor="hyperlink"/>
      <w:u w:val="single"/>
    </w:rPr>
  </w:style>
  <w:style w:type="paragraph" w:styleId="NormalWeb">
    <w:name w:val="Normal (Web)"/>
    <w:basedOn w:val="Normal"/>
    <w:uiPriority w:val="99"/>
    <w:rsid w:val="000D29C8"/>
    <w:pPr>
      <w:spacing w:before="100" w:beforeAutospacing="1" w:after="100" w:afterAutospacing="1"/>
    </w:pPr>
  </w:style>
  <w:style w:type="paragraph" w:styleId="ListParagraph">
    <w:name w:val="List Paragraph"/>
    <w:basedOn w:val="Normal"/>
    <w:uiPriority w:val="34"/>
    <w:qFormat/>
    <w:rsid w:val="008F2633"/>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F305B0"/>
    <w:rPr>
      <w:rFonts w:ascii="Tahoma" w:hAnsi="Tahoma" w:cs="Tahoma"/>
      <w:sz w:val="16"/>
      <w:szCs w:val="16"/>
    </w:rPr>
  </w:style>
  <w:style w:type="character" w:customStyle="1" w:styleId="BalloonTextChar">
    <w:name w:val="Balloon Text Char"/>
    <w:basedOn w:val="DefaultParagraphFont"/>
    <w:link w:val="BalloonText"/>
    <w:uiPriority w:val="99"/>
    <w:semiHidden/>
    <w:rsid w:val="00F305B0"/>
    <w:rPr>
      <w:rFonts w:ascii="Tahoma" w:eastAsia="Times New Roman" w:hAnsi="Tahoma" w:cs="Tahoma"/>
      <w:sz w:val="16"/>
      <w:szCs w:val="16"/>
    </w:rPr>
  </w:style>
  <w:style w:type="character" w:customStyle="1" w:styleId="apple-style-span">
    <w:name w:val="apple-style-span"/>
    <w:rsid w:val="006A64F6"/>
    <w:rPr>
      <w:rFonts w:cs="Times New Roman"/>
    </w:rPr>
  </w:style>
  <w:style w:type="character" w:customStyle="1" w:styleId="Heading1Char">
    <w:name w:val="Heading 1 Char"/>
    <w:basedOn w:val="DefaultParagraphFont"/>
    <w:link w:val="Heading1"/>
    <w:uiPriority w:val="9"/>
    <w:rsid w:val="00860FF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60FFE"/>
    <w:rPr>
      <w:rFonts w:ascii="Arial" w:eastAsiaTheme="majorEastAsia" w:hAnsi="Arial" w:cstheme="majorBidi"/>
      <w:b/>
      <w:bCs/>
      <w:sz w:val="24"/>
      <w:szCs w:val="26"/>
    </w:rPr>
  </w:style>
  <w:style w:type="character" w:styleId="Emphasis">
    <w:name w:val="Emphasis"/>
    <w:basedOn w:val="DefaultParagraphFont"/>
    <w:uiPriority w:val="20"/>
    <w:qFormat/>
    <w:rsid w:val="001332AE"/>
    <w:rPr>
      <w:rFonts w:ascii="Arial" w:hAnsi="Arial"/>
      <w:b/>
      <w:i w:val="0"/>
      <w:iCs/>
      <w:sz w:val="24"/>
    </w:rPr>
  </w:style>
  <w:style w:type="table" w:styleId="TableGrid">
    <w:name w:val="Table Grid"/>
    <w:basedOn w:val="TableNormal"/>
    <w:uiPriority w:val="39"/>
    <w:rsid w:val="006C77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74F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2690">
      <w:bodyDiv w:val="1"/>
      <w:marLeft w:val="0"/>
      <w:marRight w:val="0"/>
      <w:marTop w:val="0"/>
      <w:marBottom w:val="0"/>
      <w:divBdr>
        <w:top w:val="none" w:sz="0" w:space="0" w:color="auto"/>
        <w:left w:val="none" w:sz="0" w:space="0" w:color="auto"/>
        <w:bottom w:val="none" w:sz="0" w:space="0" w:color="auto"/>
        <w:right w:val="none" w:sz="0" w:space="0" w:color="auto"/>
      </w:divBdr>
    </w:div>
    <w:div w:id="254948712">
      <w:bodyDiv w:val="1"/>
      <w:marLeft w:val="0"/>
      <w:marRight w:val="0"/>
      <w:marTop w:val="0"/>
      <w:marBottom w:val="0"/>
      <w:divBdr>
        <w:top w:val="none" w:sz="0" w:space="0" w:color="auto"/>
        <w:left w:val="none" w:sz="0" w:space="0" w:color="auto"/>
        <w:bottom w:val="none" w:sz="0" w:space="0" w:color="auto"/>
        <w:right w:val="none" w:sz="0" w:space="0" w:color="auto"/>
      </w:divBdr>
    </w:div>
    <w:div w:id="496071253">
      <w:bodyDiv w:val="1"/>
      <w:marLeft w:val="0"/>
      <w:marRight w:val="0"/>
      <w:marTop w:val="0"/>
      <w:marBottom w:val="0"/>
      <w:divBdr>
        <w:top w:val="none" w:sz="0" w:space="0" w:color="auto"/>
        <w:left w:val="none" w:sz="0" w:space="0" w:color="auto"/>
        <w:bottom w:val="none" w:sz="0" w:space="0" w:color="auto"/>
        <w:right w:val="none" w:sz="0" w:space="0" w:color="auto"/>
      </w:divBdr>
    </w:div>
    <w:div w:id="807473913">
      <w:bodyDiv w:val="1"/>
      <w:marLeft w:val="0"/>
      <w:marRight w:val="0"/>
      <w:marTop w:val="0"/>
      <w:marBottom w:val="0"/>
      <w:divBdr>
        <w:top w:val="none" w:sz="0" w:space="0" w:color="auto"/>
        <w:left w:val="none" w:sz="0" w:space="0" w:color="auto"/>
        <w:bottom w:val="none" w:sz="0" w:space="0" w:color="auto"/>
        <w:right w:val="none" w:sz="0" w:space="0" w:color="auto"/>
      </w:divBdr>
    </w:div>
    <w:div w:id="993534585">
      <w:bodyDiv w:val="1"/>
      <w:marLeft w:val="0"/>
      <w:marRight w:val="0"/>
      <w:marTop w:val="0"/>
      <w:marBottom w:val="0"/>
      <w:divBdr>
        <w:top w:val="none" w:sz="0" w:space="0" w:color="auto"/>
        <w:left w:val="none" w:sz="0" w:space="0" w:color="auto"/>
        <w:bottom w:val="none" w:sz="0" w:space="0" w:color="auto"/>
        <w:right w:val="none" w:sz="0" w:space="0" w:color="auto"/>
      </w:divBdr>
    </w:div>
    <w:div w:id="996155874">
      <w:bodyDiv w:val="1"/>
      <w:marLeft w:val="0"/>
      <w:marRight w:val="0"/>
      <w:marTop w:val="0"/>
      <w:marBottom w:val="0"/>
      <w:divBdr>
        <w:top w:val="none" w:sz="0" w:space="0" w:color="auto"/>
        <w:left w:val="none" w:sz="0" w:space="0" w:color="auto"/>
        <w:bottom w:val="none" w:sz="0" w:space="0" w:color="auto"/>
        <w:right w:val="none" w:sz="0" w:space="0" w:color="auto"/>
      </w:divBdr>
    </w:div>
    <w:div w:id="1348603183">
      <w:bodyDiv w:val="1"/>
      <w:marLeft w:val="0"/>
      <w:marRight w:val="0"/>
      <w:marTop w:val="0"/>
      <w:marBottom w:val="0"/>
      <w:divBdr>
        <w:top w:val="none" w:sz="0" w:space="0" w:color="auto"/>
        <w:left w:val="none" w:sz="0" w:space="0" w:color="auto"/>
        <w:bottom w:val="none" w:sz="0" w:space="0" w:color="auto"/>
        <w:right w:val="none" w:sz="0" w:space="0" w:color="auto"/>
      </w:divBdr>
    </w:div>
    <w:div w:id="1476679519">
      <w:bodyDiv w:val="1"/>
      <w:marLeft w:val="0"/>
      <w:marRight w:val="0"/>
      <w:marTop w:val="0"/>
      <w:marBottom w:val="0"/>
      <w:divBdr>
        <w:top w:val="none" w:sz="0" w:space="0" w:color="auto"/>
        <w:left w:val="none" w:sz="0" w:space="0" w:color="auto"/>
        <w:bottom w:val="none" w:sz="0" w:space="0" w:color="auto"/>
        <w:right w:val="none" w:sz="0" w:space="0" w:color="auto"/>
      </w:divBdr>
    </w:div>
    <w:div w:id="1780486199">
      <w:bodyDiv w:val="1"/>
      <w:marLeft w:val="0"/>
      <w:marRight w:val="0"/>
      <w:marTop w:val="0"/>
      <w:marBottom w:val="0"/>
      <w:divBdr>
        <w:top w:val="none" w:sz="0" w:space="0" w:color="auto"/>
        <w:left w:val="none" w:sz="0" w:space="0" w:color="auto"/>
        <w:bottom w:val="none" w:sz="0" w:space="0" w:color="auto"/>
        <w:right w:val="none" w:sz="0" w:space="0" w:color="auto"/>
      </w:divBdr>
    </w:div>
    <w:div w:id="1845127778">
      <w:bodyDiv w:val="1"/>
      <w:marLeft w:val="0"/>
      <w:marRight w:val="0"/>
      <w:marTop w:val="0"/>
      <w:marBottom w:val="0"/>
      <w:divBdr>
        <w:top w:val="none" w:sz="0" w:space="0" w:color="auto"/>
        <w:left w:val="none" w:sz="0" w:space="0" w:color="auto"/>
        <w:bottom w:val="none" w:sz="0" w:space="0" w:color="auto"/>
        <w:right w:val="none" w:sz="0" w:space="0" w:color="auto"/>
      </w:divBdr>
    </w:div>
    <w:div w:id="1857646458">
      <w:bodyDiv w:val="1"/>
      <w:marLeft w:val="0"/>
      <w:marRight w:val="0"/>
      <w:marTop w:val="0"/>
      <w:marBottom w:val="0"/>
      <w:divBdr>
        <w:top w:val="none" w:sz="0" w:space="0" w:color="auto"/>
        <w:left w:val="none" w:sz="0" w:space="0" w:color="auto"/>
        <w:bottom w:val="none" w:sz="0" w:space="0" w:color="auto"/>
        <w:right w:val="none" w:sz="0" w:space="0" w:color="auto"/>
      </w:divBdr>
    </w:div>
    <w:div w:id="1972976731">
      <w:bodyDiv w:val="1"/>
      <w:marLeft w:val="0"/>
      <w:marRight w:val="0"/>
      <w:marTop w:val="0"/>
      <w:marBottom w:val="0"/>
      <w:divBdr>
        <w:top w:val="none" w:sz="0" w:space="0" w:color="auto"/>
        <w:left w:val="none" w:sz="0" w:space="0" w:color="auto"/>
        <w:bottom w:val="none" w:sz="0" w:space="0" w:color="auto"/>
        <w:right w:val="none" w:sz="0" w:space="0" w:color="auto"/>
      </w:divBdr>
    </w:div>
    <w:div w:id="2058509294">
      <w:bodyDiv w:val="1"/>
      <w:marLeft w:val="0"/>
      <w:marRight w:val="0"/>
      <w:marTop w:val="0"/>
      <w:marBottom w:val="0"/>
      <w:divBdr>
        <w:top w:val="none" w:sz="0" w:space="0" w:color="auto"/>
        <w:left w:val="none" w:sz="0" w:space="0" w:color="auto"/>
        <w:bottom w:val="none" w:sz="0" w:space="0" w:color="auto"/>
        <w:right w:val="none" w:sz="0" w:space="0" w:color="auto"/>
      </w:divBdr>
    </w:div>
    <w:div w:id="20647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Giles</dc:creator>
  <cp:lastModifiedBy>Todd Giles</cp:lastModifiedBy>
  <cp:revision>39</cp:revision>
  <cp:lastPrinted>2015-01-05T19:31:00Z</cp:lastPrinted>
  <dcterms:created xsi:type="dcterms:W3CDTF">2020-07-26T07:10:00Z</dcterms:created>
  <dcterms:modified xsi:type="dcterms:W3CDTF">2020-12-11T20:03:00Z</dcterms:modified>
</cp:coreProperties>
</file>