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FFE" w:rsidRDefault="00860FFE" w:rsidP="00060F64">
      <w:pPr>
        <w:rPr>
          <w:rFonts w:cs="Arial"/>
        </w:rPr>
      </w:pPr>
    </w:p>
    <w:p w:rsidR="00860FFE" w:rsidRPr="008A70B6" w:rsidRDefault="0001378C" w:rsidP="00860FFE">
      <w:pPr>
        <w:pStyle w:val="Heading1"/>
      </w:pPr>
      <w:r w:rsidRPr="003250C2">
        <w:rPr>
          <w:rFonts w:cs="Arial"/>
        </w:rPr>
        <w:t>English 2623:  Survey of American Literature 2 (1865-Present)</w:t>
      </w:r>
    </w:p>
    <w:p w:rsidR="00860FFE" w:rsidRPr="008A70B6" w:rsidRDefault="00B4611B" w:rsidP="00860FFE">
      <w:pPr>
        <w:jc w:val="center"/>
        <w:rPr>
          <w:rFonts w:cs="Arial"/>
        </w:rPr>
      </w:pPr>
      <w:r>
        <w:rPr>
          <w:rFonts w:cs="Arial"/>
        </w:rPr>
        <w:t>Spring</w:t>
      </w:r>
      <w:r w:rsidR="00DA6270">
        <w:rPr>
          <w:rFonts w:cs="Arial"/>
        </w:rPr>
        <w:t xml:space="preserve"> 202</w:t>
      </w:r>
      <w:r w:rsidR="007746D5">
        <w:rPr>
          <w:rFonts w:cs="Arial"/>
        </w:rPr>
        <w:t>1</w:t>
      </w:r>
      <w:r w:rsidR="007F2379">
        <w:rPr>
          <w:rFonts w:cs="Arial"/>
        </w:rPr>
        <w:t>(Online)</w:t>
      </w:r>
    </w:p>
    <w:p w:rsidR="00860FFE" w:rsidRDefault="00860FFE" w:rsidP="00060F64">
      <w:pPr>
        <w:rPr>
          <w:rFonts w:cs="Arial"/>
        </w:rPr>
      </w:pPr>
    </w:p>
    <w:p w:rsidR="00060F64" w:rsidRPr="008A70B6" w:rsidRDefault="00060F64" w:rsidP="00860FFE">
      <w:r w:rsidRPr="008A70B6">
        <w:t>Professor Todd Giles</w:t>
      </w:r>
    </w:p>
    <w:p w:rsidR="00060F64" w:rsidRPr="008A70B6" w:rsidRDefault="00060F64" w:rsidP="00860FFE">
      <w:r w:rsidRPr="008A70B6">
        <w:t>Bea Wood 232</w:t>
      </w:r>
    </w:p>
    <w:p w:rsidR="00060F64" w:rsidRPr="008A70B6" w:rsidRDefault="00060F64" w:rsidP="00860FFE">
      <w:r w:rsidRPr="008A70B6">
        <w:t>940-397-4124</w:t>
      </w:r>
    </w:p>
    <w:p w:rsidR="00060F64" w:rsidRPr="008A70B6" w:rsidRDefault="0001378C" w:rsidP="00860FFE">
      <w:r w:rsidRPr="00F22C21">
        <w:t>todd.giles@mwsu.edu</w:t>
      </w:r>
      <w:r>
        <w:t xml:space="preserve"> </w:t>
      </w:r>
    </w:p>
    <w:p w:rsidR="004417AE" w:rsidRDefault="004417AE" w:rsidP="004417AE">
      <w:r w:rsidRPr="005F04B0">
        <w:t xml:space="preserve">Office Hours: </w:t>
      </w:r>
      <w:r w:rsidR="00B4611B">
        <w:t>Zoom</w:t>
      </w:r>
      <w:r w:rsidRPr="005F04B0">
        <w:t xml:space="preserve"> by appointment</w:t>
      </w:r>
    </w:p>
    <w:p w:rsidR="009059BF" w:rsidRDefault="009059BF" w:rsidP="009059BF">
      <w:pPr>
        <w:jc w:val="center"/>
        <w:rPr>
          <w:rFonts w:cs="Arial"/>
        </w:rPr>
      </w:pPr>
    </w:p>
    <w:p w:rsidR="004479E9" w:rsidRDefault="004479E9" w:rsidP="009059BF">
      <w:pPr>
        <w:jc w:val="center"/>
        <w:rPr>
          <w:rFonts w:cs="Arial"/>
        </w:rPr>
      </w:pPr>
    </w:p>
    <w:p w:rsidR="009059BF" w:rsidRPr="004479E9" w:rsidRDefault="009059BF" w:rsidP="009059BF">
      <w:pPr>
        <w:jc w:val="center"/>
        <w:rPr>
          <w:rFonts w:cs="Arial"/>
          <w:b/>
        </w:rPr>
      </w:pPr>
      <w:r w:rsidRPr="004479E9">
        <w:rPr>
          <w:rFonts w:cs="Arial"/>
          <w:b/>
        </w:rPr>
        <w:t>“The things taught in colleges and schools are not an education, but the means of education.”</w:t>
      </w:r>
    </w:p>
    <w:p w:rsidR="009059BF" w:rsidRPr="004479E9" w:rsidRDefault="009059BF" w:rsidP="009059BF">
      <w:pPr>
        <w:jc w:val="center"/>
        <w:rPr>
          <w:rFonts w:cs="Arial"/>
        </w:rPr>
      </w:pPr>
      <w:r w:rsidRPr="004479E9">
        <w:rPr>
          <w:rFonts w:cs="Arial"/>
        </w:rPr>
        <w:t>Ralph Waldo Emerson</w:t>
      </w:r>
    </w:p>
    <w:p w:rsidR="009059BF" w:rsidRPr="004479E9" w:rsidRDefault="009059BF" w:rsidP="009059BF">
      <w:pPr>
        <w:jc w:val="center"/>
        <w:rPr>
          <w:rFonts w:cs="Arial"/>
          <w:b/>
        </w:rPr>
      </w:pPr>
    </w:p>
    <w:p w:rsidR="009059BF" w:rsidRPr="004479E9" w:rsidRDefault="009059BF" w:rsidP="009059BF">
      <w:pPr>
        <w:jc w:val="center"/>
        <w:rPr>
          <w:rFonts w:cs="Arial"/>
          <w:b/>
        </w:rPr>
      </w:pPr>
      <w:r w:rsidRPr="004479E9">
        <w:rPr>
          <w:rFonts w:cs="Arial"/>
          <w:b/>
        </w:rPr>
        <w:t>“It is only when we forget our learning that we begin to know.”</w:t>
      </w:r>
    </w:p>
    <w:p w:rsidR="009059BF" w:rsidRPr="004479E9" w:rsidRDefault="009059BF" w:rsidP="009059BF">
      <w:pPr>
        <w:jc w:val="center"/>
        <w:rPr>
          <w:rFonts w:cs="Arial"/>
        </w:rPr>
      </w:pPr>
      <w:r w:rsidRPr="004479E9">
        <w:rPr>
          <w:rFonts w:cs="Arial"/>
        </w:rPr>
        <w:t>Henry David Thoreau</w:t>
      </w:r>
    </w:p>
    <w:p w:rsidR="009059BF" w:rsidRDefault="009059BF" w:rsidP="009059BF">
      <w:pPr>
        <w:rPr>
          <w:rFonts w:cs="Arial"/>
          <w:b/>
        </w:rPr>
      </w:pPr>
    </w:p>
    <w:p w:rsidR="009059BF" w:rsidRDefault="009059BF" w:rsidP="009059BF">
      <w:pPr>
        <w:rPr>
          <w:rFonts w:cs="Arial"/>
          <w:b/>
        </w:rPr>
      </w:pPr>
    </w:p>
    <w:p w:rsidR="000D29C8" w:rsidRPr="009059BF" w:rsidRDefault="00E72466" w:rsidP="009059BF">
      <w:pPr>
        <w:rPr>
          <w:b/>
        </w:rPr>
      </w:pPr>
      <w:r w:rsidRPr="009059BF">
        <w:rPr>
          <w:b/>
        </w:rPr>
        <w:t>Required Texts</w:t>
      </w:r>
    </w:p>
    <w:p w:rsidR="0001378C" w:rsidRPr="00072571" w:rsidRDefault="0001378C" w:rsidP="0001378C">
      <w:pPr>
        <w:numPr>
          <w:ilvl w:val="0"/>
          <w:numId w:val="13"/>
        </w:numPr>
        <w:ind w:left="705"/>
        <w:rPr>
          <w:rFonts w:cs="Arial"/>
        </w:rPr>
      </w:pPr>
      <w:r w:rsidRPr="00072571">
        <w:rPr>
          <w:rFonts w:cs="Arial"/>
          <w:i/>
        </w:rPr>
        <w:t>The Norton Anthology of American Literature</w:t>
      </w:r>
      <w:r w:rsidRPr="00072571">
        <w:rPr>
          <w:rFonts w:cs="Arial"/>
        </w:rPr>
        <w:t xml:space="preserve"> (Shorter </w:t>
      </w:r>
      <w:r w:rsidR="005604EC">
        <w:rPr>
          <w:rFonts w:cs="Arial"/>
        </w:rPr>
        <w:t>7th</w:t>
      </w:r>
      <w:r w:rsidR="006B01FC" w:rsidRPr="00072571">
        <w:rPr>
          <w:rFonts w:cs="Arial"/>
        </w:rPr>
        <w:t xml:space="preserve"> </w:t>
      </w:r>
      <w:r w:rsidRPr="00072571">
        <w:rPr>
          <w:rFonts w:cs="Arial"/>
        </w:rPr>
        <w:t>Edition) vol. 2.</w:t>
      </w:r>
      <w:r w:rsidR="006B01FC" w:rsidRPr="00072571">
        <w:rPr>
          <w:rFonts w:cs="Arial"/>
        </w:rPr>
        <w:t xml:space="preserve"> </w:t>
      </w:r>
      <w:r w:rsidRPr="00072571">
        <w:rPr>
          <w:rFonts w:cs="Arial"/>
        </w:rPr>
        <w:t>(978</w:t>
      </w:r>
      <w:r w:rsidR="005604EC">
        <w:rPr>
          <w:rFonts w:cs="Arial"/>
        </w:rPr>
        <w:t>0393930559</w:t>
      </w:r>
      <w:r w:rsidRPr="00072571">
        <w:rPr>
          <w:rFonts w:cs="Arial"/>
        </w:rPr>
        <w:t>)</w:t>
      </w:r>
    </w:p>
    <w:p w:rsidR="0001378C" w:rsidRPr="00072571" w:rsidRDefault="0001378C" w:rsidP="0001378C">
      <w:pPr>
        <w:numPr>
          <w:ilvl w:val="0"/>
          <w:numId w:val="13"/>
        </w:numPr>
        <w:rPr>
          <w:rFonts w:cs="Arial"/>
        </w:rPr>
      </w:pPr>
      <w:r w:rsidRPr="00072571">
        <w:rPr>
          <w:rFonts w:cs="Arial"/>
        </w:rPr>
        <w:t xml:space="preserve">Sandra Cisneros, </w:t>
      </w:r>
      <w:r w:rsidRPr="00072571">
        <w:rPr>
          <w:rFonts w:cs="Arial"/>
          <w:i/>
        </w:rPr>
        <w:t>Woman Hollering Creek and Other Stories</w:t>
      </w:r>
      <w:r w:rsidRPr="00072571">
        <w:rPr>
          <w:rFonts w:cs="Arial"/>
        </w:rPr>
        <w:t>. Vintage, 1992. (0679738568)</w:t>
      </w:r>
    </w:p>
    <w:p w:rsidR="009059BF" w:rsidRDefault="009059BF" w:rsidP="006B01FC">
      <w:pPr>
        <w:ind w:left="720"/>
      </w:pPr>
    </w:p>
    <w:p w:rsidR="000D29C8" w:rsidRPr="008A70B6" w:rsidRDefault="00E72466" w:rsidP="006B01FC">
      <w:pPr>
        <w:pStyle w:val="Heading2"/>
      </w:pPr>
      <w:r w:rsidRPr="008A70B6">
        <w:t xml:space="preserve">Course </w:t>
      </w:r>
      <w:r>
        <w:t>D</w:t>
      </w:r>
      <w:r w:rsidRPr="008A70B6">
        <w:t>escription</w:t>
      </w:r>
    </w:p>
    <w:p w:rsidR="006B01FC" w:rsidRDefault="0001378C" w:rsidP="0001378C">
      <w:pPr>
        <w:rPr>
          <w:rFonts w:cs="Arial"/>
        </w:rPr>
      </w:pPr>
      <w:r w:rsidRPr="003250C2">
        <w:rPr>
          <w:rFonts w:cs="Arial"/>
        </w:rPr>
        <w:t>In this section of 2623 we will read representative works of late 19</w:t>
      </w:r>
      <w:r w:rsidRPr="003250C2">
        <w:rPr>
          <w:rFonts w:cs="Arial"/>
          <w:vertAlign w:val="superscript"/>
        </w:rPr>
        <w:t>th</w:t>
      </w:r>
      <w:r w:rsidRPr="003250C2">
        <w:rPr>
          <w:rFonts w:cs="Arial"/>
        </w:rPr>
        <w:t>, 20</w:t>
      </w:r>
      <w:r w:rsidRPr="003250C2">
        <w:rPr>
          <w:rFonts w:cs="Arial"/>
          <w:vertAlign w:val="superscript"/>
        </w:rPr>
        <w:t>th</w:t>
      </w:r>
      <w:r w:rsidRPr="003250C2">
        <w:rPr>
          <w:rFonts w:cs="Arial"/>
        </w:rPr>
        <w:t>, and early 21</w:t>
      </w:r>
      <w:r w:rsidRPr="003250C2">
        <w:rPr>
          <w:rFonts w:cs="Arial"/>
          <w:vertAlign w:val="superscript"/>
        </w:rPr>
        <w:t>st</w:t>
      </w:r>
      <w:r w:rsidRPr="003250C2">
        <w:rPr>
          <w:rFonts w:cs="Arial"/>
        </w:rPr>
        <w:t xml:space="preserve"> century American literature, including many marginalized contemporary ethnic voices. We will also examine the cross-fertilization of the arts and culture by listening to some music and exploring the visual arts. To cover this immensely rich period in our literary history at all adequately in one semester is literally impossible and means leaving out much that is undeniably important; it also means reading a lot. Although I have made a point of keeping our reading load relatively light, we will be covering a fair amount of material in each class session, some of which we might not actually address depending on where our discussions lead us. What we do not cover in discussion will often be covered in your daily in-class writings.</w:t>
      </w:r>
    </w:p>
    <w:p w:rsidR="00A84E5E" w:rsidRDefault="00A84E5E" w:rsidP="0001378C">
      <w:pPr>
        <w:rPr>
          <w:rFonts w:cs="Arial"/>
        </w:rPr>
      </w:pPr>
    </w:p>
    <w:p w:rsidR="00376B98" w:rsidRDefault="00376B98" w:rsidP="001332AE">
      <w:pPr>
        <w:rPr>
          <w:b/>
        </w:rPr>
      </w:pPr>
      <w:r w:rsidRPr="0032439F">
        <w:rPr>
          <w:b/>
        </w:rPr>
        <w:t>My courses are organized around the Academic Seminar model pioneered in German universities in the 19</w:t>
      </w:r>
      <w:r w:rsidRPr="0032439F">
        <w:rPr>
          <w:b/>
          <w:vertAlign w:val="superscript"/>
        </w:rPr>
        <w:t>th</w:t>
      </w:r>
      <w:r w:rsidRPr="0032439F">
        <w:rPr>
          <w:b/>
        </w:rPr>
        <w:t xml:space="preserve"> century, in which faculty and students work together to strive for new knowledge based on five pillars: interdisciplinarity; academic freedom; critical thinking; seeking knowledge as an end in itself; and integrating new knowledge while at the same time preserving and interpreting the past. </w:t>
      </w:r>
    </w:p>
    <w:p w:rsidR="007746D5" w:rsidRDefault="007746D5" w:rsidP="001332AE">
      <w:pPr>
        <w:rPr>
          <w:b/>
        </w:rPr>
      </w:pPr>
    </w:p>
    <w:p w:rsidR="00A84E5E" w:rsidRPr="0032439F" w:rsidRDefault="00A84E5E" w:rsidP="001332AE">
      <w:pPr>
        <w:rPr>
          <w:b/>
        </w:rPr>
      </w:pPr>
    </w:p>
    <w:p w:rsidR="001332AE" w:rsidRDefault="00376B98" w:rsidP="001332AE">
      <w:r w:rsidRPr="0032439F">
        <w:rPr>
          <w:b/>
        </w:rPr>
        <w:lastRenderedPageBreak/>
        <w:t>My pedagogy is founded on the intrinsic value of questioning and reflection, including the questioning of my own assumptions. As a student in my class you will develop your higher-order thinking skills through active learning—clarifying and challenging your own perspectives and those of others though the critical analysis, synthesis, and evaluation of theoretical and literary texts. We will examine and discuss challenging questions and complex realities, learn to think for ourselves, and connect to the world in rich, subtle ways.</w:t>
      </w:r>
    </w:p>
    <w:p w:rsidR="006C770C" w:rsidRDefault="006C770C" w:rsidP="001332AE"/>
    <w:p w:rsidR="0050741F" w:rsidRPr="00714D5D" w:rsidRDefault="0050741F" w:rsidP="0050741F">
      <w:pPr>
        <w:pStyle w:val="Heading2"/>
      </w:pPr>
      <w:r w:rsidRPr="00714D5D">
        <w:t>Course Requirements</w:t>
      </w:r>
    </w:p>
    <w:tbl>
      <w:tblPr>
        <w:tblStyle w:val="TableGrid"/>
        <w:tblW w:w="0" w:type="auto"/>
        <w:tblInd w:w="108" w:type="dxa"/>
        <w:tblLook w:val="04A0" w:firstRow="1" w:lastRow="0" w:firstColumn="1" w:lastColumn="0" w:noHBand="0" w:noVBand="1"/>
        <w:tblCaption w:val="Grade Requirements"/>
        <w:tblDescription w:val="Grade Requirements"/>
      </w:tblPr>
      <w:tblGrid>
        <w:gridCol w:w="4230"/>
        <w:gridCol w:w="1980"/>
      </w:tblGrid>
      <w:tr w:rsidR="00714D5D" w:rsidRPr="00714D5D" w:rsidTr="006C5944">
        <w:trPr>
          <w:tblHeader/>
        </w:trPr>
        <w:tc>
          <w:tcPr>
            <w:tcW w:w="4230" w:type="dxa"/>
            <w:tcBorders>
              <w:top w:val="single" w:sz="4" w:space="0" w:color="auto"/>
              <w:left w:val="single" w:sz="4" w:space="0" w:color="auto"/>
              <w:bottom w:val="single" w:sz="4" w:space="0" w:color="auto"/>
              <w:right w:val="single" w:sz="4" w:space="0" w:color="auto"/>
            </w:tcBorders>
            <w:hideMark/>
          </w:tcPr>
          <w:p w:rsidR="0050741F" w:rsidRPr="00714D5D" w:rsidRDefault="0050741F" w:rsidP="006C5944">
            <w:pPr>
              <w:jc w:val="center"/>
              <w:rPr>
                <w:rFonts w:cs="Arial"/>
                <w:b/>
              </w:rPr>
            </w:pPr>
            <w:r w:rsidRPr="00714D5D">
              <w:rPr>
                <w:rFonts w:cs="Arial"/>
                <w:b/>
              </w:rPr>
              <w:t>Assignments</w:t>
            </w:r>
          </w:p>
        </w:tc>
        <w:tc>
          <w:tcPr>
            <w:tcW w:w="1980" w:type="dxa"/>
            <w:tcBorders>
              <w:top w:val="single" w:sz="4" w:space="0" w:color="auto"/>
              <w:left w:val="single" w:sz="4" w:space="0" w:color="auto"/>
              <w:bottom w:val="single" w:sz="4" w:space="0" w:color="auto"/>
              <w:right w:val="single" w:sz="4" w:space="0" w:color="auto"/>
            </w:tcBorders>
            <w:hideMark/>
          </w:tcPr>
          <w:p w:rsidR="0050741F" w:rsidRPr="00714D5D" w:rsidRDefault="0050741F" w:rsidP="006C5944">
            <w:pPr>
              <w:jc w:val="center"/>
              <w:rPr>
                <w:rFonts w:cs="Arial"/>
                <w:b/>
              </w:rPr>
            </w:pPr>
            <w:r w:rsidRPr="00714D5D">
              <w:rPr>
                <w:rFonts w:cs="Arial"/>
                <w:b/>
              </w:rPr>
              <w:t>Grade Percent</w:t>
            </w:r>
          </w:p>
        </w:tc>
      </w:tr>
      <w:tr w:rsidR="00714D5D" w:rsidRPr="00714D5D" w:rsidTr="006C5944">
        <w:tc>
          <w:tcPr>
            <w:tcW w:w="4230" w:type="dxa"/>
            <w:tcBorders>
              <w:top w:val="single" w:sz="4" w:space="0" w:color="auto"/>
              <w:left w:val="single" w:sz="4" w:space="0" w:color="auto"/>
              <w:bottom w:val="single" w:sz="4" w:space="0" w:color="auto"/>
              <w:right w:val="single" w:sz="4" w:space="0" w:color="auto"/>
            </w:tcBorders>
            <w:hideMark/>
          </w:tcPr>
          <w:p w:rsidR="0050741F" w:rsidRPr="00714D5D" w:rsidRDefault="007746D5" w:rsidP="007746D5">
            <w:pPr>
              <w:rPr>
                <w:rFonts w:cs="Arial"/>
              </w:rPr>
            </w:pPr>
            <w:r>
              <w:rPr>
                <w:rFonts w:cs="Arial"/>
              </w:rPr>
              <w:t xml:space="preserve">Weekly </w:t>
            </w:r>
            <w:r w:rsidR="0050741F" w:rsidRPr="00714D5D">
              <w:rPr>
                <w:rFonts w:cs="Arial"/>
              </w:rPr>
              <w:t>Homework</w:t>
            </w:r>
            <w:r>
              <w:rPr>
                <w:rFonts w:cs="Arial"/>
              </w:rPr>
              <w:t xml:space="preserve"> &amp; Discussion</w:t>
            </w:r>
          </w:p>
        </w:tc>
        <w:tc>
          <w:tcPr>
            <w:tcW w:w="1980" w:type="dxa"/>
            <w:tcBorders>
              <w:top w:val="single" w:sz="4" w:space="0" w:color="auto"/>
              <w:left w:val="single" w:sz="4" w:space="0" w:color="auto"/>
              <w:bottom w:val="single" w:sz="4" w:space="0" w:color="auto"/>
              <w:right w:val="single" w:sz="4" w:space="0" w:color="auto"/>
            </w:tcBorders>
            <w:hideMark/>
          </w:tcPr>
          <w:p w:rsidR="0050741F" w:rsidRPr="00714D5D" w:rsidRDefault="0050741F" w:rsidP="006C5944">
            <w:pPr>
              <w:jc w:val="center"/>
              <w:rPr>
                <w:rFonts w:cs="Arial"/>
              </w:rPr>
            </w:pPr>
            <w:r w:rsidRPr="00714D5D">
              <w:rPr>
                <w:rFonts w:cs="Arial"/>
              </w:rPr>
              <w:t>40%</w:t>
            </w:r>
          </w:p>
        </w:tc>
      </w:tr>
      <w:tr w:rsidR="00714D5D" w:rsidRPr="00714D5D" w:rsidTr="006C5944">
        <w:tc>
          <w:tcPr>
            <w:tcW w:w="4230" w:type="dxa"/>
            <w:tcBorders>
              <w:top w:val="single" w:sz="4" w:space="0" w:color="auto"/>
              <w:left w:val="single" w:sz="4" w:space="0" w:color="auto"/>
              <w:bottom w:val="single" w:sz="4" w:space="0" w:color="auto"/>
              <w:right w:val="single" w:sz="4" w:space="0" w:color="auto"/>
            </w:tcBorders>
            <w:hideMark/>
          </w:tcPr>
          <w:p w:rsidR="0050741F" w:rsidRPr="00714D5D" w:rsidRDefault="0050741F" w:rsidP="006C5944">
            <w:pPr>
              <w:pStyle w:val="NormalWeb"/>
              <w:rPr>
                <w:rFonts w:cs="Arial"/>
              </w:rPr>
            </w:pPr>
            <w:r w:rsidRPr="00714D5D">
              <w:rPr>
                <w:rFonts w:cs="Arial"/>
              </w:rPr>
              <w:t>Exam 1</w:t>
            </w:r>
          </w:p>
        </w:tc>
        <w:tc>
          <w:tcPr>
            <w:tcW w:w="1980" w:type="dxa"/>
            <w:tcBorders>
              <w:top w:val="single" w:sz="4" w:space="0" w:color="auto"/>
              <w:left w:val="single" w:sz="4" w:space="0" w:color="auto"/>
              <w:bottom w:val="single" w:sz="4" w:space="0" w:color="auto"/>
              <w:right w:val="single" w:sz="4" w:space="0" w:color="auto"/>
            </w:tcBorders>
            <w:hideMark/>
          </w:tcPr>
          <w:p w:rsidR="0050741F" w:rsidRPr="00714D5D" w:rsidRDefault="0050741F" w:rsidP="006C5944">
            <w:pPr>
              <w:pStyle w:val="NormalWeb"/>
              <w:jc w:val="center"/>
              <w:rPr>
                <w:rFonts w:cs="Arial"/>
              </w:rPr>
            </w:pPr>
            <w:r w:rsidRPr="00714D5D">
              <w:rPr>
                <w:rFonts w:cs="Arial"/>
              </w:rPr>
              <w:t>20%</w:t>
            </w:r>
          </w:p>
        </w:tc>
      </w:tr>
      <w:tr w:rsidR="00714D5D" w:rsidRPr="00714D5D" w:rsidTr="006C5944">
        <w:tc>
          <w:tcPr>
            <w:tcW w:w="4230" w:type="dxa"/>
            <w:tcBorders>
              <w:top w:val="single" w:sz="4" w:space="0" w:color="auto"/>
              <w:left w:val="single" w:sz="4" w:space="0" w:color="auto"/>
              <w:bottom w:val="single" w:sz="4" w:space="0" w:color="auto"/>
              <w:right w:val="single" w:sz="4" w:space="0" w:color="auto"/>
            </w:tcBorders>
            <w:hideMark/>
          </w:tcPr>
          <w:p w:rsidR="0050741F" w:rsidRPr="00714D5D" w:rsidRDefault="0050741F" w:rsidP="006C5944">
            <w:pPr>
              <w:pStyle w:val="NormalWeb"/>
              <w:rPr>
                <w:rFonts w:cs="Arial"/>
              </w:rPr>
            </w:pPr>
            <w:r w:rsidRPr="00714D5D">
              <w:rPr>
                <w:rFonts w:cs="Arial"/>
              </w:rPr>
              <w:t>Exam 2</w:t>
            </w:r>
          </w:p>
        </w:tc>
        <w:tc>
          <w:tcPr>
            <w:tcW w:w="1980" w:type="dxa"/>
            <w:tcBorders>
              <w:top w:val="single" w:sz="4" w:space="0" w:color="auto"/>
              <w:left w:val="single" w:sz="4" w:space="0" w:color="auto"/>
              <w:bottom w:val="single" w:sz="4" w:space="0" w:color="auto"/>
              <w:right w:val="single" w:sz="4" w:space="0" w:color="auto"/>
            </w:tcBorders>
            <w:hideMark/>
          </w:tcPr>
          <w:p w:rsidR="0050741F" w:rsidRPr="00714D5D" w:rsidRDefault="0050741F" w:rsidP="006C5944">
            <w:pPr>
              <w:pStyle w:val="NormalWeb"/>
              <w:jc w:val="center"/>
              <w:rPr>
                <w:rFonts w:cs="Arial"/>
              </w:rPr>
            </w:pPr>
            <w:r w:rsidRPr="00714D5D">
              <w:rPr>
                <w:rFonts w:cs="Arial"/>
              </w:rPr>
              <w:t>20%</w:t>
            </w:r>
          </w:p>
        </w:tc>
      </w:tr>
      <w:tr w:rsidR="00714D5D" w:rsidRPr="00714D5D" w:rsidTr="006C5944">
        <w:tc>
          <w:tcPr>
            <w:tcW w:w="4230" w:type="dxa"/>
            <w:tcBorders>
              <w:top w:val="single" w:sz="4" w:space="0" w:color="auto"/>
              <w:left w:val="single" w:sz="4" w:space="0" w:color="auto"/>
              <w:bottom w:val="single" w:sz="4" w:space="0" w:color="auto"/>
              <w:right w:val="single" w:sz="4" w:space="0" w:color="auto"/>
            </w:tcBorders>
            <w:hideMark/>
          </w:tcPr>
          <w:p w:rsidR="0050741F" w:rsidRPr="00714D5D" w:rsidRDefault="0050741F" w:rsidP="006C5944">
            <w:pPr>
              <w:rPr>
                <w:rFonts w:cs="Arial"/>
              </w:rPr>
            </w:pPr>
            <w:r w:rsidRPr="00714D5D">
              <w:rPr>
                <w:rFonts w:cs="Arial"/>
              </w:rPr>
              <w:t>Final Exam</w:t>
            </w:r>
          </w:p>
        </w:tc>
        <w:tc>
          <w:tcPr>
            <w:tcW w:w="1980" w:type="dxa"/>
            <w:tcBorders>
              <w:top w:val="single" w:sz="4" w:space="0" w:color="auto"/>
              <w:left w:val="single" w:sz="4" w:space="0" w:color="auto"/>
              <w:bottom w:val="single" w:sz="4" w:space="0" w:color="auto"/>
              <w:right w:val="single" w:sz="4" w:space="0" w:color="auto"/>
            </w:tcBorders>
            <w:hideMark/>
          </w:tcPr>
          <w:p w:rsidR="0050741F" w:rsidRPr="00714D5D" w:rsidRDefault="0050741F" w:rsidP="006C5944">
            <w:pPr>
              <w:jc w:val="center"/>
              <w:rPr>
                <w:rFonts w:cs="Arial"/>
              </w:rPr>
            </w:pPr>
            <w:r w:rsidRPr="00714D5D">
              <w:rPr>
                <w:rFonts w:cs="Arial"/>
              </w:rPr>
              <w:t>20%</w:t>
            </w:r>
          </w:p>
        </w:tc>
      </w:tr>
    </w:tbl>
    <w:p w:rsidR="0050741F" w:rsidRDefault="0050741F" w:rsidP="001332AE"/>
    <w:p w:rsidR="0050741F" w:rsidRPr="008A70B6" w:rsidRDefault="0050741F" w:rsidP="0050741F">
      <w:pPr>
        <w:pStyle w:val="Heading2"/>
      </w:pPr>
      <w:r w:rsidRPr="008A70B6">
        <w:t>Grading Policy</w:t>
      </w:r>
    </w:p>
    <w:p w:rsidR="0050741F" w:rsidRPr="008A70B6" w:rsidRDefault="0050741F" w:rsidP="0050741F">
      <w:pPr>
        <w:rPr>
          <w:rFonts w:cs="Arial"/>
        </w:rPr>
      </w:pPr>
      <w:r w:rsidRPr="008A70B6">
        <w:rPr>
          <w:rFonts w:cs="Arial"/>
        </w:rPr>
        <w:t xml:space="preserve">In this class, the following numerical equivalents for </w:t>
      </w:r>
      <w:r w:rsidRPr="001332AE">
        <w:rPr>
          <w:rFonts w:cs="Arial"/>
        </w:rPr>
        <w:t>final</w:t>
      </w:r>
      <w:r w:rsidRPr="008A70B6">
        <w:rPr>
          <w:rFonts w:cs="Arial"/>
          <w:b/>
        </w:rPr>
        <w:t xml:space="preserve"> </w:t>
      </w:r>
      <w:r w:rsidRPr="008A70B6">
        <w:rPr>
          <w:rFonts w:cs="Arial"/>
        </w:rPr>
        <w:t>grades are used: A = 100-90%; B = 89-80%; C = 79-70%; D = 69-60%; F = 59-0%.</w:t>
      </w:r>
    </w:p>
    <w:p w:rsidR="0050741F" w:rsidRPr="008A70B6" w:rsidRDefault="0050741F" w:rsidP="0050741F">
      <w:pPr>
        <w:rPr>
          <w:rFonts w:cs="Arial"/>
        </w:rPr>
      </w:pPr>
    </w:p>
    <w:p w:rsidR="0050741F" w:rsidRPr="008A70B6" w:rsidRDefault="0052304B" w:rsidP="0050741F">
      <w:pPr>
        <w:pStyle w:val="Heading2"/>
      </w:pPr>
      <w:r>
        <w:t>Weekly</w:t>
      </w:r>
      <w:r w:rsidR="0050741F" w:rsidRPr="008A70B6">
        <w:t xml:space="preserve"> Writing Activities</w:t>
      </w:r>
    </w:p>
    <w:p w:rsidR="0050741F" w:rsidRPr="008A70B6" w:rsidRDefault="0052304B" w:rsidP="0050741F">
      <w:pPr>
        <w:rPr>
          <w:rFonts w:cs="Arial"/>
        </w:rPr>
      </w:pPr>
      <w:r>
        <w:rPr>
          <w:rFonts w:cs="Arial"/>
        </w:rPr>
        <w:t xml:space="preserve">Our primary sources of weekly writing will include, on alternating weeks, discussion posts and/or individual writing responses based on that week’s readings. </w:t>
      </w:r>
      <w:r w:rsidR="0050741F" w:rsidRPr="008A70B6">
        <w:rPr>
          <w:rFonts w:cs="Arial"/>
        </w:rPr>
        <w:t xml:space="preserve">These writing activities will be graded on a plus/check/minus scale: a plus for doing a thorough job (100%), a check for completing the work in an acceptable fashion (70%), and a minus for not completing the work or for obvious lack of effort (0%). Some assignments, depending on length and difficulty, will count for more than one daily grade. You cannot make up </w:t>
      </w:r>
      <w:r>
        <w:rPr>
          <w:rFonts w:cs="Arial"/>
        </w:rPr>
        <w:t>weekly writings if you miss the due date</w:t>
      </w:r>
      <w:r w:rsidR="0050741F" w:rsidRPr="008A70B6">
        <w:rPr>
          <w:rFonts w:cs="Arial"/>
        </w:rPr>
        <w:t xml:space="preserve">. </w:t>
      </w:r>
      <w:r w:rsidR="0050741F" w:rsidRPr="001332AE">
        <w:rPr>
          <w:rStyle w:val="Emphasis"/>
        </w:rPr>
        <w:t>This portion of your course work can easily make or break your overall grade, so be sure to keep up.</w:t>
      </w:r>
      <w:r w:rsidR="0050741F" w:rsidRPr="008A70B6">
        <w:rPr>
          <w:rFonts w:cs="Arial"/>
        </w:rPr>
        <w:t xml:space="preserve"> </w:t>
      </w:r>
    </w:p>
    <w:p w:rsidR="0050741F" w:rsidRPr="008A70B6" w:rsidRDefault="0050741F" w:rsidP="0050741F">
      <w:pPr>
        <w:rPr>
          <w:rFonts w:cs="Arial"/>
        </w:rPr>
      </w:pPr>
    </w:p>
    <w:p w:rsidR="000165D1" w:rsidRPr="008A70B6" w:rsidRDefault="00E72466" w:rsidP="00860FFE">
      <w:pPr>
        <w:pStyle w:val="Heading2"/>
      </w:pPr>
      <w:r w:rsidRPr="008A70B6">
        <w:t xml:space="preserve">Class Preparation </w:t>
      </w:r>
      <w:r>
        <w:t>a</w:t>
      </w:r>
      <w:r w:rsidRPr="008A70B6">
        <w:t>nd Participation</w:t>
      </w:r>
    </w:p>
    <w:p w:rsidR="000165D1" w:rsidRPr="00E72466" w:rsidRDefault="000165D1" w:rsidP="000165D1">
      <w:pPr>
        <w:rPr>
          <w:rFonts w:cs="Arial"/>
        </w:rPr>
      </w:pPr>
      <w:r w:rsidRPr="008A70B6">
        <w:rPr>
          <w:rFonts w:cs="Arial"/>
        </w:rPr>
        <w:t xml:space="preserve">To succeed on your </w:t>
      </w:r>
      <w:r w:rsidR="0052304B">
        <w:rPr>
          <w:rFonts w:cs="Arial"/>
        </w:rPr>
        <w:t>weekly responses</w:t>
      </w:r>
      <w:r w:rsidRPr="008A70B6">
        <w:rPr>
          <w:rFonts w:cs="Arial"/>
        </w:rPr>
        <w:t xml:space="preserve"> you must show that you’ve closely read, have at least a cursory understanding of the material, and address, to the best of your ability, the writing prompts. </w:t>
      </w:r>
      <w:r w:rsidR="005F04B0" w:rsidRPr="007746D5">
        <w:rPr>
          <w:rFonts w:cs="Arial"/>
          <w:b/>
          <w:u w:val="single"/>
        </w:rPr>
        <w:t>S</w:t>
      </w:r>
      <w:r w:rsidRPr="007746D5">
        <w:rPr>
          <w:rFonts w:cs="Arial"/>
          <w:b/>
          <w:u w:val="single"/>
        </w:rPr>
        <w:t>pecific examples from the work always help get the point across.</w:t>
      </w:r>
      <w:r w:rsidRPr="00E72466">
        <w:rPr>
          <w:rFonts w:cs="Arial"/>
        </w:rPr>
        <w:t xml:space="preserve"> It is also good to try to tie in any relevant terminology or critical concepts from class discussions. </w:t>
      </w:r>
      <w:r w:rsidRPr="007746D5">
        <w:rPr>
          <w:rFonts w:cs="Arial"/>
          <w:b/>
          <w:u w:val="single"/>
        </w:rPr>
        <w:t xml:space="preserve">Read the assigned material by the date listed on the schedule of readings. As you read, take notes and underline/highlight what you believe are key passages in the text (a climactic scene, crucial lines for understanding the work, a summary of the argument, etc.), or things you have trouble understanding. </w:t>
      </w:r>
    </w:p>
    <w:p w:rsidR="000165D1" w:rsidRDefault="000165D1" w:rsidP="000165D1">
      <w:pPr>
        <w:rPr>
          <w:rFonts w:cs="Arial"/>
        </w:rPr>
      </w:pPr>
    </w:p>
    <w:p w:rsidR="008C60C6" w:rsidRDefault="008C60C6" w:rsidP="000165D1">
      <w:pPr>
        <w:rPr>
          <w:rFonts w:cs="Arial"/>
        </w:rPr>
      </w:pPr>
    </w:p>
    <w:p w:rsidR="008C60C6" w:rsidRDefault="008C60C6" w:rsidP="000165D1">
      <w:pPr>
        <w:rPr>
          <w:rFonts w:cs="Arial"/>
        </w:rPr>
      </w:pPr>
    </w:p>
    <w:p w:rsidR="008C60C6" w:rsidRDefault="008C60C6" w:rsidP="000165D1">
      <w:pPr>
        <w:rPr>
          <w:rFonts w:cs="Arial"/>
        </w:rPr>
      </w:pPr>
    </w:p>
    <w:p w:rsidR="008C60C6" w:rsidRPr="00E72466" w:rsidRDefault="008C60C6" w:rsidP="000165D1">
      <w:pPr>
        <w:rPr>
          <w:rFonts w:cs="Arial"/>
        </w:rPr>
      </w:pPr>
    </w:p>
    <w:p w:rsidR="000165D1" w:rsidRPr="008A70B6" w:rsidRDefault="00E72466" w:rsidP="00860FFE">
      <w:pPr>
        <w:pStyle w:val="Heading2"/>
      </w:pPr>
      <w:r w:rsidRPr="008A70B6">
        <w:lastRenderedPageBreak/>
        <w:t>Plagiarism Policy</w:t>
      </w:r>
    </w:p>
    <w:p w:rsidR="00714D5D" w:rsidRDefault="004D5590" w:rsidP="000165D1">
      <w:pPr>
        <w:rPr>
          <w:rFonts w:cs="Arial"/>
        </w:rPr>
      </w:pPr>
      <w:r w:rsidRPr="008A70B6">
        <w:rPr>
          <w:rFonts w:cs="Arial"/>
        </w:rPr>
        <w:t xml:space="preserve">Plagiarism is the use of someone else’s thoughts, words, ideas, or lines of argument in your own work without appropriate documentation (a parenthetical citation at the end and a listing in “Works Cited”)–whether you use that material in a quotation, paraphrase, or summary. It is a theft of intellectual property and will </w:t>
      </w:r>
      <w:r w:rsidRPr="001332AE">
        <w:rPr>
          <w:rFonts w:cs="Arial"/>
          <w:bCs/>
        </w:rPr>
        <w:t>not be tolerated</w:t>
      </w:r>
      <w:r w:rsidRPr="008A70B6">
        <w:rPr>
          <w:rFonts w:cs="Arial"/>
        </w:rPr>
        <w:t xml:space="preserve">, whether intentional or not. I have a zero tolerance for any type of plagiarism. </w:t>
      </w:r>
    </w:p>
    <w:p w:rsidR="004D5590" w:rsidRPr="001332AE" w:rsidRDefault="004D5590" w:rsidP="000165D1">
      <w:pPr>
        <w:rPr>
          <w:rStyle w:val="Emphasis"/>
        </w:rPr>
      </w:pPr>
      <w:r w:rsidRPr="001332AE">
        <w:rPr>
          <w:rStyle w:val="Emphasis"/>
        </w:rPr>
        <w:t>All incidents of plagiarism will be penalized (the paper will receive an automatic F), reported, and kept on file. The second incident of plagiarism in class by the same student will result in the student receiving an F for the course.</w:t>
      </w:r>
    </w:p>
    <w:p w:rsidR="00160171" w:rsidRPr="008A70B6" w:rsidRDefault="00160171" w:rsidP="000165D1">
      <w:pPr>
        <w:rPr>
          <w:rFonts w:cs="Arial"/>
        </w:rPr>
      </w:pPr>
    </w:p>
    <w:p w:rsidR="00160171" w:rsidRPr="008A70B6" w:rsidRDefault="00E72466" w:rsidP="00860FFE">
      <w:pPr>
        <w:pStyle w:val="Heading2"/>
      </w:pPr>
      <w:r w:rsidRPr="008A70B6">
        <w:t xml:space="preserve">Students </w:t>
      </w:r>
      <w:r>
        <w:t>w</w:t>
      </w:r>
      <w:r w:rsidRPr="008A70B6">
        <w:t>ith Disabilities</w:t>
      </w:r>
    </w:p>
    <w:p w:rsidR="00160171" w:rsidRPr="008A70B6" w:rsidRDefault="00160171" w:rsidP="000165D1">
      <w:pPr>
        <w:rPr>
          <w:rFonts w:cs="Arial"/>
          <w:bCs/>
        </w:rPr>
      </w:pPr>
      <w:r w:rsidRPr="008A70B6">
        <w:rPr>
          <w:rFonts w:cs="Arial"/>
          <w:bCs/>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w:t>
      </w:r>
    </w:p>
    <w:p w:rsidR="00160171" w:rsidRPr="008A70B6" w:rsidRDefault="00160171" w:rsidP="000165D1">
      <w:pPr>
        <w:rPr>
          <w:rFonts w:cs="Arial"/>
          <w:bCs/>
        </w:rPr>
      </w:pPr>
    </w:p>
    <w:p w:rsidR="00160171" w:rsidRPr="008A70B6" w:rsidRDefault="00E72466" w:rsidP="00860FFE">
      <w:pPr>
        <w:pStyle w:val="Heading2"/>
      </w:pPr>
      <w:r w:rsidRPr="008A70B6">
        <w:t>Safe Zone Statement</w:t>
      </w:r>
    </w:p>
    <w:p w:rsidR="00160171" w:rsidRPr="008A70B6" w:rsidRDefault="00160171" w:rsidP="000165D1">
      <w:pPr>
        <w:rPr>
          <w:rFonts w:cs="Arial"/>
        </w:rPr>
      </w:pPr>
      <w:r w:rsidRPr="008A70B6">
        <w:rPr>
          <w:rFonts w:cs="Arial"/>
        </w:rPr>
        <w:t>I consider this classroom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my expectation that ALL students consider the classroom a safe environment.</w:t>
      </w:r>
    </w:p>
    <w:p w:rsidR="00160171" w:rsidRPr="008A70B6" w:rsidRDefault="00160171" w:rsidP="000165D1">
      <w:pPr>
        <w:rPr>
          <w:rFonts w:cs="Arial"/>
        </w:rPr>
      </w:pPr>
    </w:p>
    <w:p w:rsidR="00371764" w:rsidRPr="008A70B6" w:rsidRDefault="00E72466" w:rsidP="00860FFE">
      <w:pPr>
        <w:pStyle w:val="Heading2"/>
      </w:pPr>
      <w:r w:rsidRPr="008A70B6">
        <w:t>Grade Appeals</w:t>
      </w:r>
    </w:p>
    <w:p w:rsidR="00371764" w:rsidRPr="008A70B6" w:rsidRDefault="00371764" w:rsidP="00371764">
      <w:pPr>
        <w:rPr>
          <w:rFonts w:cs="Arial"/>
        </w:rPr>
      </w:pPr>
      <w:r w:rsidRPr="008A70B6">
        <w:rPr>
          <w:rFonts w:cs="Arial"/>
        </w:rPr>
        <w:t xml:space="preserve">I will be happy to try to explain the rationale behind any grade; however, </w:t>
      </w:r>
      <w:r w:rsidRPr="008A70B6">
        <w:rPr>
          <w:rFonts w:cs="Arial"/>
          <w:bCs/>
        </w:rPr>
        <w:t>I absolutely do not negotiate, haggle, or argue about grades</w:t>
      </w:r>
      <w:r w:rsidRPr="008A70B6">
        <w:rPr>
          <w:rFonts w:cs="Arial"/>
        </w:rPr>
        <w:t>. Part of my job is to evaluate your work and to assign a written grade to it. I do that to the best of my ability the first time. The bottom line is that you have to take responsibility for your own education.</w:t>
      </w:r>
    </w:p>
    <w:p w:rsidR="008746ED" w:rsidRPr="008A70B6" w:rsidRDefault="008746ED" w:rsidP="00346F94">
      <w:pPr>
        <w:rPr>
          <w:rFonts w:cs="Arial"/>
        </w:rPr>
      </w:pPr>
    </w:p>
    <w:p w:rsidR="00346F94" w:rsidRPr="008A70B6" w:rsidRDefault="00E72466" w:rsidP="00860FFE">
      <w:pPr>
        <w:pStyle w:val="Heading2"/>
      </w:pPr>
      <w:r w:rsidRPr="008A70B6">
        <w:t>M</w:t>
      </w:r>
      <w:r>
        <w:t>SU</w:t>
      </w:r>
      <w:r w:rsidRPr="008A70B6">
        <w:t xml:space="preserve"> Writing Labs</w:t>
      </w:r>
    </w:p>
    <w:p w:rsidR="0034494E" w:rsidRDefault="00346F94" w:rsidP="000165D1">
      <w:pPr>
        <w:rPr>
          <w:rFonts w:cs="Arial"/>
          <w:color w:val="000000"/>
        </w:rPr>
      </w:pPr>
      <w:r w:rsidRPr="008A70B6">
        <w:rPr>
          <w:rFonts w:cs="Arial"/>
          <w:color w:val="000000"/>
        </w:rPr>
        <w:t>I encourage you to begin drafting papers as early as possible and to take advantage of the MSU Writing Labs located in 224 Bea Wood and RC246 Moffett Library. Writing tutors will not edit your papers for you, but they will provide you with specific suggestions for improving your writing.</w:t>
      </w:r>
    </w:p>
    <w:p w:rsidR="00346F94" w:rsidRPr="008A70B6" w:rsidRDefault="0034494E" w:rsidP="000165D1">
      <w:pPr>
        <w:rPr>
          <w:rFonts w:cs="Arial"/>
        </w:rPr>
      </w:pPr>
      <w:r w:rsidRPr="008A70B6">
        <w:rPr>
          <w:rFonts w:cs="Arial"/>
        </w:rPr>
        <w:t xml:space="preserve"> </w:t>
      </w:r>
    </w:p>
    <w:p w:rsidR="00346F94" w:rsidRPr="008A70B6" w:rsidRDefault="00E72466" w:rsidP="00860FFE">
      <w:pPr>
        <w:pStyle w:val="Heading2"/>
      </w:pPr>
      <w:r w:rsidRPr="008A70B6">
        <w:t>Writing Proficiency Requirement</w:t>
      </w:r>
    </w:p>
    <w:p w:rsidR="00346F94" w:rsidRPr="008A70B6" w:rsidRDefault="00346F94" w:rsidP="00346F94">
      <w:pPr>
        <w:spacing w:after="200"/>
        <w:rPr>
          <w:rFonts w:cs="Arial"/>
          <w:color w:val="000000"/>
        </w:rPr>
      </w:pPr>
      <w:r w:rsidRPr="008A70B6">
        <w:rPr>
          <w:rFonts w:cs="Arial"/>
          <w:color w:val="000000"/>
        </w:rPr>
        <w:t>All students seeking a Bachelor’s degree from Midwestern State University must satisfy a writing proficiency requirement once they have 1) passed English 1113 and English 1123 and 2) earned 60 hours. You may meet this requirement by passing either the Writing Proficiency Exam or English 2113. Please keep in mind that, once you have earned over 90 hours, you lose the opportunity to take the $25 exam and have no option but to enroll in the three-credit-hour course. If you have any questions about the exam, visit the Writing Proficiency Office website at http://academics.mwsu.edu/wpr, or call 397-4131.</w:t>
      </w:r>
    </w:p>
    <w:p w:rsidR="007A580D" w:rsidRPr="008A70B6" w:rsidRDefault="00E72466" w:rsidP="001332AE">
      <w:pPr>
        <w:pStyle w:val="Heading2"/>
      </w:pPr>
      <w:r w:rsidRPr="008A70B6">
        <w:lastRenderedPageBreak/>
        <w:t>Reading Schedule</w:t>
      </w:r>
    </w:p>
    <w:p w:rsidR="007A580D" w:rsidRPr="008A70B6" w:rsidRDefault="007A580D" w:rsidP="007A580D">
      <w:pPr>
        <w:spacing w:after="200"/>
        <w:rPr>
          <w:rFonts w:cs="Arial"/>
        </w:rPr>
      </w:pPr>
      <w:r w:rsidRPr="008A70B6">
        <w:rPr>
          <w:rFonts w:cs="Arial"/>
        </w:rPr>
        <w:t>This schedule is tentative; I reserve the right to amend it with oral notice in class. If you anticipate a problem with due dates please speak with me well in advance.</w:t>
      </w:r>
    </w:p>
    <w:p w:rsidR="00A523C2" w:rsidRPr="006B27D2" w:rsidRDefault="00A523C2" w:rsidP="00A523C2">
      <w:pPr>
        <w:rPr>
          <w:color w:val="0070C0"/>
        </w:rPr>
      </w:pPr>
      <w:r w:rsidRPr="006B27D2">
        <w:rPr>
          <w:b/>
          <w:color w:val="0070C0"/>
        </w:rPr>
        <w:t>Week 1</w:t>
      </w:r>
      <w:r w:rsidR="006B27D2">
        <w:rPr>
          <w:b/>
          <w:color w:val="0070C0"/>
        </w:rPr>
        <w:t xml:space="preserve"> </w:t>
      </w:r>
      <w:r w:rsidRPr="006B27D2">
        <w:rPr>
          <w:color w:val="0070C0"/>
        </w:rPr>
        <w:t>(1/11–1/15)</w:t>
      </w:r>
    </w:p>
    <w:p w:rsidR="00D350B3" w:rsidRDefault="00D350B3" w:rsidP="00D350B3">
      <w:r>
        <w:t>Introduction</w:t>
      </w:r>
    </w:p>
    <w:p w:rsidR="00D350B3" w:rsidRPr="00B52C52" w:rsidRDefault="00D350B3" w:rsidP="00D350B3">
      <w:r w:rsidRPr="00B52C52">
        <w:t>Walt Whitman (D2L)</w:t>
      </w:r>
    </w:p>
    <w:p w:rsidR="00D350B3" w:rsidRDefault="00D350B3" w:rsidP="00D350B3">
      <w:pPr>
        <w:rPr>
          <w:color w:val="FF0000"/>
        </w:rPr>
      </w:pPr>
    </w:p>
    <w:p w:rsidR="006B27D2" w:rsidRPr="006B27D2" w:rsidRDefault="006B27D2" w:rsidP="006B27D2">
      <w:pPr>
        <w:rPr>
          <w:color w:val="0070C0"/>
        </w:rPr>
      </w:pPr>
      <w:r w:rsidRPr="006B27D2">
        <w:rPr>
          <w:b/>
          <w:color w:val="0070C0"/>
        </w:rPr>
        <w:t>Week 2</w:t>
      </w:r>
      <w:r>
        <w:rPr>
          <w:b/>
          <w:color w:val="0070C0"/>
        </w:rPr>
        <w:t xml:space="preserve"> </w:t>
      </w:r>
      <w:r w:rsidRPr="006B27D2">
        <w:rPr>
          <w:color w:val="0070C0"/>
        </w:rPr>
        <w:t xml:space="preserve">(1/18–1/22) </w:t>
      </w:r>
    </w:p>
    <w:p w:rsidR="00D350B3" w:rsidRDefault="006B27D2" w:rsidP="006B27D2">
      <w:pPr>
        <w:rPr>
          <w:rFonts w:cs="Arial"/>
        </w:rPr>
      </w:pPr>
      <w:r>
        <w:rPr>
          <w:rFonts w:cs="Arial"/>
        </w:rPr>
        <w:t xml:space="preserve"> </w:t>
      </w:r>
      <w:r w:rsidR="00D350B3">
        <w:rPr>
          <w:rFonts w:cs="Arial"/>
        </w:rPr>
        <w:t>“American Literature 1865-1914” (1-16)</w:t>
      </w:r>
    </w:p>
    <w:p w:rsidR="00D350B3" w:rsidRDefault="00D350B3" w:rsidP="00D350B3">
      <w:pPr>
        <w:rPr>
          <w:rFonts w:cs="Arial"/>
        </w:rPr>
      </w:pPr>
      <w:r>
        <w:rPr>
          <w:rFonts w:cs="Arial"/>
        </w:rPr>
        <w:t xml:space="preserve">Walt Whitman, “Song of Myself” #s 1-15 </w:t>
      </w:r>
      <w:r>
        <w:rPr>
          <w:rFonts w:cs="Arial"/>
        </w:rPr>
        <w:tab/>
        <w:t>(17-32) and #s 48-52 (62-64)</w:t>
      </w:r>
    </w:p>
    <w:p w:rsidR="00D350B3" w:rsidRDefault="00D350B3" w:rsidP="00D350B3"/>
    <w:p w:rsidR="006B27D2" w:rsidRPr="006B27D2" w:rsidRDefault="006B27D2" w:rsidP="006B27D2">
      <w:pPr>
        <w:rPr>
          <w:color w:val="0070C0"/>
        </w:rPr>
      </w:pPr>
      <w:r w:rsidRPr="006B27D2">
        <w:rPr>
          <w:b/>
          <w:color w:val="0070C0"/>
        </w:rPr>
        <w:t>Week 3</w:t>
      </w:r>
      <w:r>
        <w:rPr>
          <w:b/>
          <w:color w:val="0070C0"/>
        </w:rPr>
        <w:t xml:space="preserve"> </w:t>
      </w:r>
      <w:r w:rsidRPr="006B27D2">
        <w:rPr>
          <w:color w:val="0070C0"/>
        </w:rPr>
        <w:t>(1/25–1/29)</w:t>
      </w:r>
    </w:p>
    <w:p w:rsidR="00D350B3" w:rsidRDefault="00D350B3" w:rsidP="00D350B3">
      <w:r>
        <w:rPr>
          <w:rFonts w:cs="Arial"/>
        </w:rPr>
        <w:t xml:space="preserve">Whitman, “When Lilacs Last in the Dooryard </w:t>
      </w:r>
      <w:proofErr w:type="spellStart"/>
      <w:r>
        <w:rPr>
          <w:rFonts w:cs="Arial"/>
        </w:rPr>
        <w:t>Bloom’d</w:t>
      </w:r>
      <w:proofErr w:type="spellEnd"/>
      <w:r>
        <w:rPr>
          <w:rFonts w:cs="Arial"/>
        </w:rPr>
        <w:t>” (71-77)</w:t>
      </w:r>
    </w:p>
    <w:p w:rsidR="00D350B3" w:rsidRDefault="00D350B3" w:rsidP="00D350B3">
      <w:r>
        <w:rPr>
          <w:rFonts w:cs="Arial"/>
        </w:rPr>
        <w:t>Emily Dickinson (77-93)</w:t>
      </w:r>
    </w:p>
    <w:p w:rsidR="00D350B3" w:rsidRDefault="00D350B3" w:rsidP="00D350B3"/>
    <w:p w:rsidR="006B27D2" w:rsidRPr="006B27D2" w:rsidRDefault="006B27D2" w:rsidP="006B27D2">
      <w:pPr>
        <w:rPr>
          <w:color w:val="0070C0"/>
        </w:rPr>
      </w:pPr>
      <w:r w:rsidRPr="006B27D2">
        <w:rPr>
          <w:b/>
          <w:color w:val="0070C0"/>
        </w:rPr>
        <w:t>Week 4</w:t>
      </w:r>
      <w:r>
        <w:rPr>
          <w:b/>
          <w:color w:val="0070C0"/>
        </w:rPr>
        <w:t xml:space="preserve"> </w:t>
      </w:r>
      <w:r w:rsidRPr="006B27D2">
        <w:rPr>
          <w:color w:val="0070C0"/>
        </w:rPr>
        <w:t xml:space="preserve">(2/1–2/5)  </w:t>
      </w:r>
    </w:p>
    <w:p w:rsidR="00D350B3" w:rsidRDefault="00D350B3" w:rsidP="00D350B3">
      <w:pPr>
        <w:ind w:left="720" w:hanging="720"/>
        <w:rPr>
          <w:rFonts w:cs="Arial"/>
        </w:rPr>
      </w:pPr>
      <w:r>
        <w:rPr>
          <w:rFonts w:cs="Arial"/>
        </w:rPr>
        <w:t>Kate Chopin, “Desiree</w:t>
      </w:r>
      <w:r w:rsidR="007F2379">
        <w:rPr>
          <w:rFonts w:cs="Arial"/>
        </w:rPr>
        <w:t>’</w:t>
      </w:r>
      <w:r>
        <w:rPr>
          <w:rFonts w:cs="Arial"/>
        </w:rPr>
        <w:t>s Baby” (4</w:t>
      </w:r>
      <w:r w:rsidR="005927FB">
        <w:rPr>
          <w:rFonts w:cs="Arial"/>
        </w:rPr>
        <w:t>39</w:t>
      </w:r>
      <w:r>
        <w:rPr>
          <w:rFonts w:cs="Arial"/>
        </w:rPr>
        <w:t>-443)</w:t>
      </w:r>
    </w:p>
    <w:p w:rsidR="00D350B3" w:rsidRDefault="00D350B3" w:rsidP="00D350B3">
      <w:pPr>
        <w:ind w:left="720" w:hanging="720"/>
      </w:pPr>
      <w:r>
        <w:rPr>
          <w:rFonts w:cs="Arial"/>
        </w:rPr>
        <w:t>Charlotte Perkins Gilman, “The Yellow Wall-paper” (506-519)</w:t>
      </w:r>
    </w:p>
    <w:p w:rsidR="00D350B3" w:rsidRDefault="00D350B3" w:rsidP="00D350B3">
      <w:pPr>
        <w:ind w:left="720" w:hanging="720"/>
      </w:pPr>
    </w:p>
    <w:p w:rsidR="006B27D2" w:rsidRPr="006B27D2" w:rsidRDefault="006B27D2" w:rsidP="006B27D2">
      <w:pPr>
        <w:rPr>
          <w:color w:val="0070C0"/>
        </w:rPr>
      </w:pPr>
      <w:r w:rsidRPr="006B27D2">
        <w:rPr>
          <w:b/>
          <w:color w:val="0070C0"/>
        </w:rPr>
        <w:t>Week 5</w:t>
      </w:r>
      <w:r>
        <w:rPr>
          <w:b/>
          <w:color w:val="0070C0"/>
        </w:rPr>
        <w:t xml:space="preserve"> </w:t>
      </w:r>
      <w:r w:rsidRPr="006B27D2">
        <w:rPr>
          <w:color w:val="0070C0"/>
        </w:rPr>
        <w:t xml:space="preserve">(2/8–2/12)  </w:t>
      </w:r>
    </w:p>
    <w:p w:rsidR="00D350B3" w:rsidRDefault="00D350B3" w:rsidP="00D350B3">
      <w:pPr>
        <w:rPr>
          <w:rFonts w:cs="Arial"/>
        </w:rPr>
      </w:pPr>
      <w:r>
        <w:rPr>
          <w:rFonts w:cs="Arial"/>
        </w:rPr>
        <w:t xml:space="preserve">Robert Frost (775-790) </w:t>
      </w:r>
      <w:r w:rsidR="00A25F66">
        <w:rPr>
          <w:b/>
          <w:color w:val="FF0000"/>
        </w:rPr>
        <w:t>(Due Wednesday at Noon)</w:t>
      </w:r>
    </w:p>
    <w:p w:rsidR="00A25F66" w:rsidRDefault="00A25F66" w:rsidP="00A25F66">
      <w:pPr>
        <w:rPr>
          <w:b/>
          <w:color w:val="FF0000"/>
        </w:rPr>
      </w:pPr>
      <w:r>
        <w:rPr>
          <w:b/>
          <w:color w:val="FF0000"/>
        </w:rPr>
        <w:t>Exam 1 (Due Friday at Noon)</w:t>
      </w:r>
    </w:p>
    <w:p w:rsidR="00A25F66" w:rsidRDefault="00A25F66" w:rsidP="00D350B3">
      <w:pPr>
        <w:rPr>
          <w:color w:val="FF0000"/>
        </w:rPr>
      </w:pPr>
    </w:p>
    <w:p w:rsidR="006B27D2" w:rsidRPr="006B27D2" w:rsidRDefault="006B27D2" w:rsidP="006B27D2">
      <w:pPr>
        <w:rPr>
          <w:color w:val="0070C0"/>
        </w:rPr>
      </w:pPr>
      <w:r w:rsidRPr="006B27D2">
        <w:rPr>
          <w:b/>
          <w:color w:val="0070C0"/>
        </w:rPr>
        <w:t>Week 6</w:t>
      </w:r>
      <w:r>
        <w:rPr>
          <w:b/>
          <w:color w:val="0070C0"/>
        </w:rPr>
        <w:t xml:space="preserve"> </w:t>
      </w:r>
      <w:r w:rsidRPr="006B27D2">
        <w:rPr>
          <w:color w:val="0070C0"/>
        </w:rPr>
        <w:t xml:space="preserve">(2/15–2/19)  </w:t>
      </w:r>
    </w:p>
    <w:p w:rsidR="00D350B3" w:rsidRPr="00B52C52" w:rsidRDefault="00D350B3" w:rsidP="00D350B3">
      <w:r w:rsidRPr="00B52C52">
        <w:rPr>
          <w:rFonts w:cs="Arial"/>
        </w:rPr>
        <w:t>Modernism Slide Show (D2L)</w:t>
      </w:r>
    </w:p>
    <w:p w:rsidR="00D350B3" w:rsidRDefault="00D350B3" w:rsidP="00D350B3">
      <w:pPr>
        <w:rPr>
          <w:rFonts w:cs="Arial"/>
        </w:rPr>
      </w:pPr>
      <w:r>
        <w:rPr>
          <w:rFonts w:cs="Arial"/>
        </w:rPr>
        <w:t>“American Literature 1914-1945” (705-720)</w:t>
      </w:r>
    </w:p>
    <w:p w:rsidR="00D350B3" w:rsidRDefault="00D350B3" w:rsidP="00D350B3">
      <w:pPr>
        <w:rPr>
          <w:rFonts w:cs="Arial"/>
        </w:rPr>
      </w:pPr>
      <w:r>
        <w:rPr>
          <w:rFonts w:cs="Arial"/>
        </w:rPr>
        <w:t>Carl Sandburg (811-814)</w:t>
      </w:r>
    </w:p>
    <w:p w:rsidR="00D350B3" w:rsidRDefault="00D350B3" w:rsidP="00D350B3">
      <w:pPr>
        <w:rPr>
          <w:rFonts w:cs="Arial"/>
        </w:rPr>
      </w:pPr>
      <w:r>
        <w:rPr>
          <w:rFonts w:cs="Arial"/>
        </w:rPr>
        <w:t>William Carlos Williams (831-841)</w:t>
      </w:r>
    </w:p>
    <w:p w:rsidR="00D350B3" w:rsidRDefault="00D350B3" w:rsidP="00D350B3">
      <w:r>
        <w:rPr>
          <w:rFonts w:cs="Arial"/>
        </w:rPr>
        <w:t>H.D. (849-854)</w:t>
      </w:r>
    </w:p>
    <w:p w:rsidR="00D350B3" w:rsidRDefault="00D350B3" w:rsidP="00D350B3"/>
    <w:p w:rsidR="006B27D2" w:rsidRPr="006B27D2" w:rsidRDefault="006B27D2" w:rsidP="006B27D2">
      <w:pPr>
        <w:rPr>
          <w:color w:val="0070C0"/>
        </w:rPr>
      </w:pPr>
      <w:r w:rsidRPr="006B27D2">
        <w:rPr>
          <w:b/>
          <w:color w:val="0070C0"/>
        </w:rPr>
        <w:t>Week 7</w:t>
      </w:r>
      <w:r>
        <w:rPr>
          <w:b/>
          <w:color w:val="0070C0"/>
        </w:rPr>
        <w:t xml:space="preserve"> </w:t>
      </w:r>
      <w:r w:rsidRPr="006B27D2">
        <w:rPr>
          <w:color w:val="0070C0"/>
        </w:rPr>
        <w:t xml:space="preserve">(2/22–2/26)  </w:t>
      </w:r>
    </w:p>
    <w:p w:rsidR="00D350B3" w:rsidRDefault="00D350B3" w:rsidP="00D350B3">
      <w:pPr>
        <w:rPr>
          <w:rFonts w:cs="Arial"/>
        </w:rPr>
      </w:pPr>
      <w:r>
        <w:rPr>
          <w:rFonts w:cs="Arial"/>
        </w:rPr>
        <w:t>Sherwood Anderson, “Hands” and “Mother” (801-811)</w:t>
      </w:r>
    </w:p>
    <w:p w:rsidR="00D350B3" w:rsidRDefault="00D350B3" w:rsidP="00D350B3">
      <w:r>
        <w:rPr>
          <w:rFonts w:cs="Arial"/>
        </w:rPr>
        <w:t xml:space="preserve">William Faulkner, “A Rose for Emily” (1040-1048) </w:t>
      </w:r>
      <w:r>
        <w:rPr>
          <w:rFonts w:cs="Arial"/>
          <w:b/>
        </w:rPr>
        <w:t xml:space="preserve"> </w:t>
      </w:r>
    </w:p>
    <w:p w:rsidR="00D350B3" w:rsidRDefault="00D350B3" w:rsidP="00D350B3">
      <w:r>
        <w:t>Ernest Hemingway “The Snows of Kilimanjaro” (1065-1083)</w:t>
      </w:r>
    </w:p>
    <w:p w:rsidR="00D350B3" w:rsidRDefault="00D350B3" w:rsidP="00D350B3"/>
    <w:p w:rsidR="006B27D2" w:rsidRPr="006B27D2" w:rsidRDefault="006B27D2" w:rsidP="006B27D2">
      <w:pPr>
        <w:rPr>
          <w:color w:val="0070C0"/>
        </w:rPr>
      </w:pPr>
      <w:r w:rsidRPr="006B27D2">
        <w:rPr>
          <w:b/>
          <w:color w:val="0070C0"/>
        </w:rPr>
        <w:t>Week 8</w:t>
      </w:r>
      <w:r>
        <w:rPr>
          <w:b/>
          <w:color w:val="0070C0"/>
        </w:rPr>
        <w:t xml:space="preserve"> </w:t>
      </w:r>
      <w:r w:rsidRPr="006B27D2">
        <w:rPr>
          <w:color w:val="0070C0"/>
        </w:rPr>
        <w:t xml:space="preserve">(3/1–3/5)  </w:t>
      </w:r>
    </w:p>
    <w:p w:rsidR="00D350B3" w:rsidRDefault="00D350B3" w:rsidP="00D350B3">
      <w:pPr>
        <w:rPr>
          <w:rFonts w:cs="Arial"/>
        </w:rPr>
      </w:pPr>
      <w:r>
        <w:rPr>
          <w:rFonts w:cs="Arial"/>
        </w:rPr>
        <w:t xml:space="preserve">Langston Hughes (1087-1095) </w:t>
      </w:r>
    </w:p>
    <w:p w:rsidR="00D350B3" w:rsidRDefault="00D350B3" w:rsidP="00D350B3">
      <w:r>
        <w:rPr>
          <w:rFonts w:cs="Arial"/>
        </w:rPr>
        <w:t xml:space="preserve">Ralph Ellison, “from </w:t>
      </w:r>
      <w:r>
        <w:rPr>
          <w:rFonts w:cs="Arial"/>
          <w:i/>
        </w:rPr>
        <w:t>Invisible Man</w:t>
      </w:r>
      <w:r>
        <w:rPr>
          <w:rFonts w:cs="Arial"/>
        </w:rPr>
        <w:t>” (1253-1264)</w:t>
      </w:r>
      <w:r>
        <w:rPr>
          <w:rFonts w:cs="Arial"/>
          <w:b/>
        </w:rPr>
        <w:tab/>
      </w:r>
      <w:r>
        <w:t xml:space="preserve">                        </w:t>
      </w:r>
    </w:p>
    <w:p w:rsidR="00D350B3" w:rsidRDefault="00D350B3" w:rsidP="00D350B3">
      <w:pPr>
        <w:rPr>
          <w:b/>
        </w:rPr>
      </w:pPr>
    </w:p>
    <w:p w:rsidR="006B27D2" w:rsidRPr="006B27D2" w:rsidRDefault="006B27D2" w:rsidP="006B27D2">
      <w:pPr>
        <w:rPr>
          <w:color w:val="0070C0"/>
        </w:rPr>
      </w:pPr>
      <w:r w:rsidRPr="006B27D2">
        <w:rPr>
          <w:b/>
          <w:color w:val="0070C0"/>
        </w:rPr>
        <w:t>Week 9</w:t>
      </w:r>
      <w:r>
        <w:rPr>
          <w:b/>
          <w:color w:val="0070C0"/>
        </w:rPr>
        <w:t xml:space="preserve"> </w:t>
      </w:r>
      <w:r w:rsidRPr="006B27D2">
        <w:rPr>
          <w:color w:val="0070C0"/>
        </w:rPr>
        <w:t xml:space="preserve">(3/8–3/12)  </w:t>
      </w:r>
    </w:p>
    <w:p w:rsidR="00D350B3" w:rsidRDefault="00D350B3" w:rsidP="00D350B3">
      <w:pPr>
        <w:rPr>
          <w:rFonts w:cs="Arial"/>
        </w:rPr>
      </w:pPr>
      <w:r>
        <w:rPr>
          <w:rFonts w:cs="Arial"/>
        </w:rPr>
        <w:t>“American Literature since 1945” (1129-1142)</w:t>
      </w:r>
    </w:p>
    <w:p w:rsidR="00D350B3" w:rsidRPr="00B52C52" w:rsidRDefault="00D350B3" w:rsidP="00D350B3">
      <w:pPr>
        <w:rPr>
          <w:rFonts w:cs="Arial"/>
        </w:rPr>
      </w:pPr>
      <w:r>
        <w:rPr>
          <w:rFonts w:cs="Arial"/>
        </w:rPr>
        <w:t xml:space="preserve">Allen Ginsberg (1414-1425); </w:t>
      </w:r>
      <w:r w:rsidRPr="00B52C52">
        <w:rPr>
          <w:rFonts w:cs="Arial"/>
        </w:rPr>
        <w:t>“Sun Flower Sutra” (D2L)</w:t>
      </w:r>
    </w:p>
    <w:p w:rsidR="00D350B3" w:rsidRPr="00B52C52" w:rsidRDefault="00D350B3" w:rsidP="00D350B3">
      <w:r w:rsidRPr="00B52C52">
        <w:rPr>
          <w:rFonts w:cs="Arial"/>
        </w:rPr>
        <w:t>Postmodernism slideshow (D2L)</w:t>
      </w:r>
    </w:p>
    <w:p w:rsidR="00D350B3" w:rsidRDefault="00D350B3" w:rsidP="00D350B3">
      <w:pPr>
        <w:rPr>
          <w:rFonts w:cs="Arial"/>
        </w:rPr>
      </w:pPr>
    </w:p>
    <w:p w:rsidR="00D350B3" w:rsidRDefault="00D350B3" w:rsidP="00D350B3">
      <w:pPr>
        <w:rPr>
          <w:rFonts w:cs="Arial"/>
        </w:rPr>
      </w:pPr>
    </w:p>
    <w:p w:rsidR="00D350B3" w:rsidRDefault="00D350B3" w:rsidP="00D350B3">
      <w:pPr>
        <w:rPr>
          <w:rFonts w:cs="Arial"/>
        </w:rPr>
      </w:pPr>
    </w:p>
    <w:p w:rsidR="006B27D2" w:rsidRPr="006B27D2" w:rsidRDefault="006B27D2" w:rsidP="006B27D2">
      <w:pPr>
        <w:rPr>
          <w:color w:val="0070C0"/>
        </w:rPr>
      </w:pPr>
      <w:r w:rsidRPr="006B27D2">
        <w:rPr>
          <w:b/>
          <w:color w:val="0070C0"/>
        </w:rPr>
        <w:lastRenderedPageBreak/>
        <w:t>Week 10</w:t>
      </w:r>
      <w:r>
        <w:rPr>
          <w:b/>
          <w:color w:val="0070C0"/>
        </w:rPr>
        <w:t xml:space="preserve"> </w:t>
      </w:r>
      <w:r w:rsidRPr="006B27D2">
        <w:rPr>
          <w:color w:val="0070C0"/>
        </w:rPr>
        <w:t xml:space="preserve">(3/15–3/19) </w:t>
      </w:r>
    </w:p>
    <w:p w:rsidR="00D350B3" w:rsidRDefault="00D350B3" w:rsidP="00D350B3">
      <w:pPr>
        <w:rPr>
          <w:rFonts w:cs="Arial"/>
          <w:b/>
          <w:color w:val="FF0000"/>
        </w:rPr>
      </w:pPr>
      <w:r>
        <w:rPr>
          <w:rFonts w:cs="Arial"/>
          <w:b/>
          <w:color w:val="FF0000"/>
        </w:rPr>
        <w:t>Exam 2 (Due Wednesday)</w:t>
      </w:r>
    </w:p>
    <w:p w:rsidR="00D350B3" w:rsidRDefault="00D350B3" w:rsidP="00D350B3">
      <w:r>
        <w:rPr>
          <w:rFonts w:cs="Arial"/>
        </w:rPr>
        <w:t>Amiri Baraka (1519-1526)</w:t>
      </w:r>
    </w:p>
    <w:p w:rsidR="00D350B3" w:rsidRDefault="00D350B3" w:rsidP="00D350B3">
      <w:r>
        <w:tab/>
      </w:r>
      <w:r>
        <w:tab/>
      </w:r>
    </w:p>
    <w:p w:rsidR="006B27D2" w:rsidRPr="006B27D2" w:rsidRDefault="006B27D2" w:rsidP="006B27D2">
      <w:pPr>
        <w:rPr>
          <w:color w:val="0070C0"/>
        </w:rPr>
      </w:pPr>
      <w:r w:rsidRPr="006B27D2">
        <w:rPr>
          <w:b/>
          <w:color w:val="0070C0"/>
        </w:rPr>
        <w:t>Week 11</w:t>
      </w:r>
      <w:r>
        <w:rPr>
          <w:b/>
          <w:color w:val="0070C0"/>
        </w:rPr>
        <w:t xml:space="preserve"> </w:t>
      </w:r>
      <w:r w:rsidRPr="006B27D2">
        <w:rPr>
          <w:color w:val="0070C0"/>
        </w:rPr>
        <w:t>(3/22–3/26)</w:t>
      </w:r>
    </w:p>
    <w:p w:rsidR="00D350B3" w:rsidRDefault="00D350B3" w:rsidP="00D350B3">
      <w:r>
        <w:rPr>
          <w:rFonts w:cs="Arial"/>
        </w:rPr>
        <w:t>Gloria Anzaldua (1586-1595)</w:t>
      </w:r>
    </w:p>
    <w:p w:rsidR="00D350B3" w:rsidRDefault="00D350B3" w:rsidP="00D350B3">
      <w:pPr>
        <w:rPr>
          <w:rFonts w:cs="Arial"/>
        </w:rPr>
      </w:pPr>
      <w:r>
        <w:rPr>
          <w:rFonts w:cs="Arial"/>
        </w:rPr>
        <w:t>Alice Walker, “Everyday Use” (1595-1602)</w:t>
      </w:r>
    </w:p>
    <w:p w:rsidR="00362580" w:rsidRDefault="00362580" w:rsidP="00362580">
      <w:pPr>
        <w:ind w:left="720" w:hanging="720"/>
      </w:pPr>
    </w:p>
    <w:p w:rsidR="006B27D2" w:rsidRPr="006B27D2" w:rsidRDefault="006B27D2" w:rsidP="006B27D2">
      <w:pPr>
        <w:rPr>
          <w:color w:val="0070C0"/>
        </w:rPr>
      </w:pPr>
      <w:r w:rsidRPr="006B27D2">
        <w:rPr>
          <w:b/>
          <w:color w:val="0070C0"/>
        </w:rPr>
        <w:t xml:space="preserve">Week 12 </w:t>
      </w:r>
      <w:r w:rsidRPr="006B27D2">
        <w:rPr>
          <w:color w:val="0070C0"/>
        </w:rPr>
        <w:t>(3/29–</w:t>
      </w:r>
      <w:r w:rsidR="00E313B9">
        <w:rPr>
          <w:color w:val="0070C0"/>
        </w:rPr>
        <w:t>4</w:t>
      </w:r>
      <w:bookmarkStart w:id="0" w:name="_GoBack"/>
      <w:bookmarkEnd w:id="0"/>
      <w:r w:rsidRPr="006B27D2">
        <w:rPr>
          <w:color w:val="0070C0"/>
        </w:rPr>
        <w:t xml:space="preserve">/2)  </w:t>
      </w:r>
    </w:p>
    <w:p w:rsidR="00B4611B" w:rsidRPr="00B52C52" w:rsidRDefault="00B4611B" w:rsidP="00B4611B">
      <w:pPr>
        <w:rPr>
          <w:rFonts w:cs="Arial"/>
        </w:rPr>
      </w:pPr>
      <w:r w:rsidRPr="00B52C52">
        <w:rPr>
          <w:rFonts w:cs="Arial"/>
        </w:rPr>
        <w:t xml:space="preserve">Cisneros, </w:t>
      </w:r>
      <w:r w:rsidRPr="00B52C52">
        <w:rPr>
          <w:rFonts w:cs="Arial"/>
          <w:i/>
        </w:rPr>
        <w:t xml:space="preserve">Woman Hollering Creek </w:t>
      </w:r>
    </w:p>
    <w:p w:rsidR="00B4611B" w:rsidRPr="00B52C52" w:rsidRDefault="00B4611B" w:rsidP="00B4611B">
      <w:pPr>
        <w:rPr>
          <w:rFonts w:cs="Arial"/>
        </w:rPr>
      </w:pPr>
      <w:r w:rsidRPr="00B52C52">
        <w:rPr>
          <w:rFonts w:cs="Arial"/>
        </w:rPr>
        <w:t>“My Friend Lucy . . .” – “Woman Hollering Creek” (3-56)</w:t>
      </w:r>
    </w:p>
    <w:p w:rsidR="00B4611B" w:rsidRDefault="00B4611B" w:rsidP="00B4611B">
      <w:pPr>
        <w:rPr>
          <w:rFonts w:cs="Arial"/>
        </w:rPr>
      </w:pPr>
    </w:p>
    <w:p w:rsidR="006B27D2" w:rsidRPr="006B27D2" w:rsidRDefault="006B27D2" w:rsidP="006B27D2">
      <w:pPr>
        <w:rPr>
          <w:color w:val="0070C0"/>
        </w:rPr>
      </w:pPr>
      <w:r w:rsidRPr="006B27D2">
        <w:rPr>
          <w:b/>
          <w:color w:val="0070C0"/>
        </w:rPr>
        <w:t>Week 13</w:t>
      </w:r>
      <w:r>
        <w:rPr>
          <w:b/>
          <w:color w:val="0070C0"/>
        </w:rPr>
        <w:t xml:space="preserve"> </w:t>
      </w:r>
      <w:r w:rsidRPr="006B27D2">
        <w:rPr>
          <w:color w:val="0070C0"/>
        </w:rPr>
        <w:t xml:space="preserve">(4/5–4/9)  </w:t>
      </w:r>
    </w:p>
    <w:p w:rsidR="00B4611B" w:rsidRPr="00B52C52" w:rsidRDefault="00B4611B" w:rsidP="00B4611B">
      <w:pPr>
        <w:ind w:left="720" w:hanging="720"/>
        <w:rPr>
          <w:rFonts w:cs="Arial"/>
        </w:rPr>
      </w:pPr>
      <w:r w:rsidRPr="00B52C52">
        <w:rPr>
          <w:rFonts w:cs="Arial"/>
        </w:rPr>
        <w:t xml:space="preserve">Cisneros, </w:t>
      </w:r>
      <w:r w:rsidRPr="00B52C52">
        <w:rPr>
          <w:rFonts w:cs="Arial"/>
          <w:i/>
        </w:rPr>
        <w:t>Woman Hollering Creek</w:t>
      </w:r>
      <w:r w:rsidRPr="00B52C52">
        <w:rPr>
          <w:rFonts w:cs="Arial"/>
        </w:rPr>
        <w:t xml:space="preserve"> </w:t>
      </w:r>
    </w:p>
    <w:p w:rsidR="00B4611B" w:rsidRPr="00B52C52" w:rsidRDefault="00B4611B" w:rsidP="00B4611B">
      <w:pPr>
        <w:rPr>
          <w:rFonts w:cs="Arial"/>
        </w:rPr>
      </w:pPr>
      <w:r w:rsidRPr="00B52C52">
        <w:rPr>
          <w:rFonts w:cs="Arial"/>
        </w:rPr>
        <w:t>“The Marlboro Man” – “Eyes of Zapata” (57-113)</w:t>
      </w:r>
      <w:r w:rsidR="006B27D2">
        <w:rPr>
          <w:rFonts w:cs="Arial"/>
        </w:rPr>
        <w:t xml:space="preserve"> </w:t>
      </w:r>
    </w:p>
    <w:p w:rsidR="00B4611B" w:rsidRPr="00B52C52" w:rsidRDefault="00B4611B" w:rsidP="00B4611B">
      <w:pPr>
        <w:rPr>
          <w:rFonts w:cs="Arial"/>
        </w:rPr>
      </w:pPr>
    </w:p>
    <w:p w:rsidR="006B27D2" w:rsidRDefault="006B27D2" w:rsidP="00B4611B">
      <w:pPr>
        <w:ind w:left="720" w:hanging="720"/>
        <w:rPr>
          <w:color w:val="0070C0"/>
        </w:rPr>
      </w:pPr>
      <w:r w:rsidRPr="006B27D2">
        <w:rPr>
          <w:b/>
          <w:color w:val="0070C0"/>
        </w:rPr>
        <w:t>Week 14</w:t>
      </w:r>
      <w:r>
        <w:rPr>
          <w:b/>
          <w:color w:val="0070C0"/>
        </w:rPr>
        <w:t xml:space="preserve"> </w:t>
      </w:r>
      <w:r w:rsidRPr="006B27D2">
        <w:rPr>
          <w:color w:val="0070C0"/>
        </w:rPr>
        <w:t>(4/12–4/16)</w:t>
      </w:r>
    </w:p>
    <w:p w:rsidR="00B4611B" w:rsidRPr="00B52C52" w:rsidRDefault="00B4611B" w:rsidP="00B4611B">
      <w:pPr>
        <w:ind w:left="720" w:hanging="720"/>
        <w:rPr>
          <w:rFonts w:cs="Arial"/>
        </w:rPr>
      </w:pPr>
      <w:r w:rsidRPr="00B52C52">
        <w:rPr>
          <w:rFonts w:cs="Arial"/>
        </w:rPr>
        <w:t xml:space="preserve">Cisneros, </w:t>
      </w:r>
      <w:r w:rsidRPr="00B52C52">
        <w:rPr>
          <w:rFonts w:cs="Arial"/>
          <w:i/>
        </w:rPr>
        <w:t>Woman Hollering Creek</w:t>
      </w:r>
      <w:r w:rsidRPr="00B52C52">
        <w:rPr>
          <w:rFonts w:cs="Arial"/>
        </w:rPr>
        <w:t xml:space="preserve"> </w:t>
      </w:r>
    </w:p>
    <w:p w:rsidR="00B4611B" w:rsidRPr="00B52C52" w:rsidRDefault="00B4611B" w:rsidP="00B4611B">
      <w:pPr>
        <w:ind w:left="720" w:hanging="720"/>
        <w:rPr>
          <w:rFonts w:cs="Arial"/>
        </w:rPr>
      </w:pPr>
      <w:r w:rsidRPr="00B52C52">
        <w:rPr>
          <w:rFonts w:cs="Arial"/>
        </w:rPr>
        <w:t>“</w:t>
      </w:r>
      <w:proofErr w:type="spellStart"/>
      <w:r w:rsidRPr="00B52C52">
        <w:rPr>
          <w:rFonts w:cs="Arial"/>
        </w:rPr>
        <w:t>Anguian</w:t>
      </w:r>
      <w:proofErr w:type="spellEnd"/>
      <w:r w:rsidRPr="00B52C52">
        <w:rPr>
          <w:rFonts w:cs="Arial"/>
        </w:rPr>
        <w:t xml:space="preserve"> . . .” – “</w:t>
      </w:r>
      <w:r w:rsidRPr="00B52C52">
        <w:rPr>
          <w:rFonts w:cs="Arial"/>
          <w:i/>
        </w:rPr>
        <w:t>Bien</w:t>
      </w:r>
      <w:r w:rsidRPr="00B52C52">
        <w:rPr>
          <w:rFonts w:cs="Arial"/>
        </w:rPr>
        <w:t xml:space="preserve"> Pretty” (114-165)</w:t>
      </w:r>
    </w:p>
    <w:p w:rsidR="00B4611B" w:rsidRPr="00B52C52" w:rsidRDefault="00B4611B" w:rsidP="00B4611B">
      <w:pPr>
        <w:rPr>
          <w:rFonts w:cs="Arial"/>
        </w:rPr>
      </w:pPr>
    </w:p>
    <w:p w:rsidR="006B27D2" w:rsidRPr="006B27D2" w:rsidRDefault="006B27D2" w:rsidP="006B27D2">
      <w:pPr>
        <w:rPr>
          <w:color w:val="0070C0"/>
        </w:rPr>
      </w:pPr>
      <w:r w:rsidRPr="006B27D2">
        <w:rPr>
          <w:b/>
          <w:color w:val="0070C0"/>
        </w:rPr>
        <w:t>Week 15</w:t>
      </w:r>
      <w:r>
        <w:rPr>
          <w:b/>
          <w:color w:val="0070C0"/>
        </w:rPr>
        <w:t xml:space="preserve"> </w:t>
      </w:r>
      <w:r w:rsidRPr="006B27D2">
        <w:rPr>
          <w:color w:val="0070C0"/>
        </w:rPr>
        <w:t xml:space="preserve">(4/19–4/23) </w:t>
      </w:r>
    </w:p>
    <w:p w:rsidR="00B4611B" w:rsidRPr="00B52C52" w:rsidRDefault="00B4611B" w:rsidP="00B4611B">
      <w:pPr>
        <w:rPr>
          <w:rFonts w:cs="Arial"/>
        </w:rPr>
      </w:pPr>
      <w:r w:rsidRPr="00B52C52">
        <w:rPr>
          <w:rFonts w:cs="Arial"/>
        </w:rPr>
        <w:t>Leslie Marmon Silko, “Lullaby” (1608-1615)</w:t>
      </w:r>
    </w:p>
    <w:p w:rsidR="00B4611B" w:rsidRPr="00B52C52" w:rsidRDefault="00B4611B" w:rsidP="00B4611B">
      <w:pPr>
        <w:rPr>
          <w:rFonts w:cs="Arial"/>
        </w:rPr>
      </w:pPr>
      <w:r w:rsidRPr="00B52C52">
        <w:rPr>
          <w:rFonts w:cs="Arial"/>
        </w:rPr>
        <w:t>Joy Harjo (1629-1633)</w:t>
      </w:r>
    </w:p>
    <w:p w:rsidR="00B4611B" w:rsidRPr="00B52C52" w:rsidRDefault="00B4611B" w:rsidP="00B4611B">
      <w:pPr>
        <w:rPr>
          <w:rFonts w:cs="Arial"/>
        </w:rPr>
      </w:pPr>
      <w:r w:rsidRPr="00B52C52">
        <w:rPr>
          <w:rFonts w:cs="Arial"/>
        </w:rPr>
        <w:t>Louise Erdrich (1652-1664)</w:t>
      </w:r>
    </w:p>
    <w:p w:rsidR="0052304B" w:rsidRPr="00B52C52" w:rsidRDefault="0052304B" w:rsidP="0001378C">
      <w:pPr>
        <w:rPr>
          <w:rFonts w:cs="Arial"/>
        </w:rPr>
      </w:pPr>
    </w:p>
    <w:p w:rsidR="00DA74F3" w:rsidRDefault="00DA74F3" w:rsidP="0001378C">
      <w:pPr>
        <w:rPr>
          <w:rFonts w:cs="Arial"/>
        </w:rPr>
      </w:pPr>
    </w:p>
    <w:p w:rsidR="00875806" w:rsidRPr="00BE6265" w:rsidRDefault="00875806" w:rsidP="00875806">
      <w:pPr>
        <w:jc w:val="center"/>
        <w:rPr>
          <w:b/>
          <w:color w:val="FF0000"/>
          <w:highlight w:val="yellow"/>
        </w:rPr>
      </w:pPr>
      <w:r w:rsidRPr="00BE6265">
        <w:rPr>
          <w:b/>
          <w:color w:val="FF0000"/>
          <w:highlight w:val="yellow"/>
        </w:rPr>
        <w:t xml:space="preserve">Final </w:t>
      </w:r>
      <w:r>
        <w:rPr>
          <w:b/>
          <w:color w:val="FF0000"/>
          <w:highlight w:val="yellow"/>
        </w:rPr>
        <w:t>Exams</w:t>
      </w:r>
      <w:r w:rsidRPr="00BE6265">
        <w:rPr>
          <w:b/>
          <w:color w:val="FF0000"/>
          <w:highlight w:val="yellow"/>
        </w:rPr>
        <w:t xml:space="preserve"> are due at official Final Exam time. TBA. </w:t>
      </w:r>
    </w:p>
    <w:p w:rsidR="0052304B" w:rsidRDefault="0052304B" w:rsidP="0001378C">
      <w:pPr>
        <w:rPr>
          <w:rFonts w:cs="Arial"/>
        </w:rPr>
      </w:pPr>
    </w:p>
    <w:p w:rsidR="0052304B" w:rsidRDefault="0052304B" w:rsidP="0001378C">
      <w:pPr>
        <w:rPr>
          <w:rFonts w:cs="Arial"/>
        </w:rPr>
      </w:pPr>
    </w:p>
    <w:p w:rsidR="00C67767" w:rsidRPr="00C67767" w:rsidRDefault="00C67767" w:rsidP="00C67767"/>
    <w:p w:rsidR="00504880" w:rsidRPr="006B27D2" w:rsidRDefault="00504880" w:rsidP="00504880">
      <w:pPr>
        <w:rPr>
          <w:color w:val="0070C0"/>
        </w:rPr>
      </w:pPr>
      <w:r w:rsidRPr="006B27D2">
        <w:rPr>
          <w:color w:val="0070C0"/>
        </w:rPr>
        <w:t xml:space="preserve">  </w:t>
      </w:r>
    </w:p>
    <w:p w:rsidR="00C67767" w:rsidRPr="00C67767" w:rsidRDefault="00C67767" w:rsidP="00C67767"/>
    <w:p w:rsidR="00C67767" w:rsidRPr="00C67767" w:rsidRDefault="00C67767" w:rsidP="00C67767"/>
    <w:p w:rsidR="00C67767" w:rsidRPr="00C67767" w:rsidRDefault="00C67767" w:rsidP="00C67767"/>
    <w:p w:rsidR="00C67767" w:rsidRPr="00C67767" w:rsidRDefault="00C67767" w:rsidP="00C67767"/>
    <w:p w:rsidR="0052304B" w:rsidRDefault="0052304B" w:rsidP="0001378C">
      <w:pPr>
        <w:rPr>
          <w:rFonts w:cs="Arial"/>
        </w:rPr>
      </w:pPr>
    </w:p>
    <w:sectPr w:rsidR="00523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45D08"/>
    <w:multiLevelType w:val="hybridMultilevel"/>
    <w:tmpl w:val="D30AD2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261A02"/>
    <w:multiLevelType w:val="hybridMultilevel"/>
    <w:tmpl w:val="DC0406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E247B1"/>
    <w:multiLevelType w:val="hybridMultilevel"/>
    <w:tmpl w:val="11E60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A11B2B"/>
    <w:multiLevelType w:val="hybridMultilevel"/>
    <w:tmpl w:val="5CE8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C3501"/>
    <w:multiLevelType w:val="hybridMultilevel"/>
    <w:tmpl w:val="C4C0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2425D"/>
    <w:multiLevelType w:val="hybridMultilevel"/>
    <w:tmpl w:val="6CD8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A6397"/>
    <w:multiLevelType w:val="hybridMultilevel"/>
    <w:tmpl w:val="3D321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E376F9"/>
    <w:multiLevelType w:val="hybridMultilevel"/>
    <w:tmpl w:val="06A8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E0B13"/>
    <w:multiLevelType w:val="hybridMultilevel"/>
    <w:tmpl w:val="DF3E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12E55"/>
    <w:multiLevelType w:val="hybridMultilevel"/>
    <w:tmpl w:val="3B103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5D222B"/>
    <w:multiLevelType w:val="hybridMultilevel"/>
    <w:tmpl w:val="4E50E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num>
  <w:num w:numId="2">
    <w:abstractNumId w:val="8"/>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7"/>
  </w:num>
  <w:num w:numId="8">
    <w:abstractNumId w:val="0"/>
  </w:num>
  <w:num w:numId="9">
    <w:abstractNumId w:val="1"/>
  </w:num>
  <w:num w:numId="10">
    <w:abstractNumId w:val="2"/>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28"/>
    <w:rsid w:val="0000576F"/>
    <w:rsid w:val="00006395"/>
    <w:rsid w:val="00010B2D"/>
    <w:rsid w:val="0001378C"/>
    <w:rsid w:val="000165D1"/>
    <w:rsid w:val="00017715"/>
    <w:rsid w:val="00020263"/>
    <w:rsid w:val="00021C9F"/>
    <w:rsid w:val="00021E8D"/>
    <w:rsid w:val="00034DE4"/>
    <w:rsid w:val="00060F64"/>
    <w:rsid w:val="00067974"/>
    <w:rsid w:val="00072571"/>
    <w:rsid w:val="00073DA3"/>
    <w:rsid w:val="00073EB4"/>
    <w:rsid w:val="00076422"/>
    <w:rsid w:val="000819EB"/>
    <w:rsid w:val="000A4DD2"/>
    <w:rsid w:val="000C07A7"/>
    <w:rsid w:val="000D11C6"/>
    <w:rsid w:val="000D29C8"/>
    <w:rsid w:val="000D2F9F"/>
    <w:rsid w:val="00115BFD"/>
    <w:rsid w:val="00125527"/>
    <w:rsid w:val="001332AE"/>
    <w:rsid w:val="00160171"/>
    <w:rsid w:val="00170FFA"/>
    <w:rsid w:val="001B0A93"/>
    <w:rsid w:val="001B4C04"/>
    <w:rsid w:val="001E19A7"/>
    <w:rsid w:val="001E4B4A"/>
    <w:rsid w:val="001F09EE"/>
    <w:rsid w:val="001F1040"/>
    <w:rsid w:val="001F73AE"/>
    <w:rsid w:val="00226017"/>
    <w:rsid w:val="00227A41"/>
    <w:rsid w:val="00227E4C"/>
    <w:rsid w:val="00240A70"/>
    <w:rsid w:val="00241037"/>
    <w:rsid w:val="00246EB8"/>
    <w:rsid w:val="002A7D72"/>
    <w:rsid w:val="002B79F6"/>
    <w:rsid w:val="002D0D72"/>
    <w:rsid w:val="00317173"/>
    <w:rsid w:val="0032439F"/>
    <w:rsid w:val="00327114"/>
    <w:rsid w:val="0034494E"/>
    <w:rsid w:val="00346F94"/>
    <w:rsid w:val="00361F38"/>
    <w:rsid w:val="00362580"/>
    <w:rsid w:val="00371764"/>
    <w:rsid w:val="00376B98"/>
    <w:rsid w:val="00384F17"/>
    <w:rsid w:val="0039101D"/>
    <w:rsid w:val="0039103D"/>
    <w:rsid w:val="00391BFA"/>
    <w:rsid w:val="00393F64"/>
    <w:rsid w:val="003C7229"/>
    <w:rsid w:val="003D011D"/>
    <w:rsid w:val="003F7C2D"/>
    <w:rsid w:val="00420A8E"/>
    <w:rsid w:val="0042571D"/>
    <w:rsid w:val="00425C10"/>
    <w:rsid w:val="00427BEB"/>
    <w:rsid w:val="0044007F"/>
    <w:rsid w:val="004417AE"/>
    <w:rsid w:val="004479E9"/>
    <w:rsid w:val="0045212E"/>
    <w:rsid w:val="00454FB2"/>
    <w:rsid w:val="00460739"/>
    <w:rsid w:val="00465458"/>
    <w:rsid w:val="004662DE"/>
    <w:rsid w:val="00474C05"/>
    <w:rsid w:val="00495304"/>
    <w:rsid w:val="004A1EAF"/>
    <w:rsid w:val="004B1972"/>
    <w:rsid w:val="004D3AFA"/>
    <w:rsid w:val="004D5590"/>
    <w:rsid w:val="004D5A2C"/>
    <w:rsid w:val="004E568E"/>
    <w:rsid w:val="004F0DAA"/>
    <w:rsid w:val="004F5B91"/>
    <w:rsid w:val="00504880"/>
    <w:rsid w:val="0050741F"/>
    <w:rsid w:val="00514554"/>
    <w:rsid w:val="0052304B"/>
    <w:rsid w:val="00523872"/>
    <w:rsid w:val="00525828"/>
    <w:rsid w:val="005334B6"/>
    <w:rsid w:val="0055664D"/>
    <w:rsid w:val="005604EC"/>
    <w:rsid w:val="005770AD"/>
    <w:rsid w:val="00587817"/>
    <w:rsid w:val="005927FB"/>
    <w:rsid w:val="005955B9"/>
    <w:rsid w:val="00595C98"/>
    <w:rsid w:val="005A4BE2"/>
    <w:rsid w:val="005B4C03"/>
    <w:rsid w:val="005D6AB6"/>
    <w:rsid w:val="005F04B0"/>
    <w:rsid w:val="005F73E8"/>
    <w:rsid w:val="0060563C"/>
    <w:rsid w:val="00646E9B"/>
    <w:rsid w:val="00665C17"/>
    <w:rsid w:val="00691EB0"/>
    <w:rsid w:val="00694734"/>
    <w:rsid w:val="006A0486"/>
    <w:rsid w:val="006A1270"/>
    <w:rsid w:val="006A1C0D"/>
    <w:rsid w:val="006A59BE"/>
    <w:rsid w:val="006A64F6"/>
    <w:rsid w:val="006B01FC"/>
    <w:rsid w:val="006B27D2"/>
    <w:rsid w:val="006C55E1"/>
    <w:rsid w:val="006C770C"/>
    <w:rsid w:val="00703239"/>
    <w:rsid w:val="00714D5D"/>
    <w:rsid w:val="00716F1D"/>
    <w:rsid w:val="007300F0"/>
    <w:rsid w:val="007560B7"/>
    <w:rsid w:val="00760ADA"/>
    <w:rsid w:val="0077157E"/>
    <w:rsid w:val="007746D5"/>
    <w:rsid w:val="007A21A7"/>
    <w:rsid w:val="007A580D"/>
    <w:rsid w:val="007B32BA"/>
    <w:rsid w:val="007B3EDC"/>
    <w:rsid w:val="007E24AE"/>
    <w:rsid w:val="007F2379"/>
    <w:rsid w:val="007F602E"/>
    <w:rsid w:val="008010E4"/>
    <w:rsid w:val="0081054B"/>
    <w:rsid w:val="00811C31"/>
    <w:rsid w:val="00827943"/>
    <w:rsid w:val="00853A4C"/>
    <w:rsid w:val="00854385"/>
    <w:rsid w:val="008547EF"/>
    <w:rsid w:val="00860FFE"/>
    <w:rsid w:val="008635EA"/>
    <w:rsid w:val="008746ED"/>
    <w:rsid w:val="00875806"/>
    <w:rsid w:val="008A70B6"/>
    <w:rsid w:val="008C1910"/>
    <w:rsid w:val="008C2483"/>
    <w:rsid w:val="008C60C6"/>
    <w:rsid w:val="008D4ABD"/>
    <w:rsid w:val="008E032B"/>
    <w:rsid w:val="008F2633"/>
    <w:rsid w:val="009059BF"/>
    <w:rsid w:val="00920E03"/>
    <w:rsid w:val="00924FF8"/>
    <w:rsid w:val="00980803"/>
    <w:rsid w:val="009822E2"/>
    <w:rsid w:val="009A3904"/>
    <w:rsid w:val="009A573B"/>
    <w:rsid w:val="009A724B"/>
    <w:rsid w:val="009F1055"/>
    <w:rsid w:val="009F4A92"/>
    <w:rsid w:val="009F7FB4"/>
    <w:rsid w:val="00A037A5"/>
    <w:rsid w:val="00A03A16"/>
    <w:rsid w:val="00A15285"/>
    <w:rsid w:val="00A20145"/>
    <w:rsid w:val="00A21970"/>
    <w:rsid w:val="00A25F66"/>
    <w:rsid w:val="00A37E52"/>
    <w:rsid w:val="00A46405"/>
    <w:rsid w:val="00A523C2"/>
    <w:rsid w:val="00A6500D"/>
    <w:rsid w:val="00A7733C"/>
    <w:rsid w:val="00A84E5E"/>
    <w:rsid w:val="00A9254E"/>
    <w:rsid w:val="00A96757"/>
    <w:rsid w:val="00AA3C9A"/>
    <w:rsid w:val="00B10C5E"/>
    <w:rsid w:val="00B156F9"/>
    <w:rsid w:val="00B31155"/>
    <w:rsid w:val="00B33695"/>
    <w:rsid w:val="00B361DD"/>
    <w:rsid w:val="00B4611B"/>
    <w:rsid w:val="00B52C52"/>
    <w:rsid w:val="00B53729"/>
    <w:rsid w:val="00B558FE"/>
    <w:rsid w:val="00B612F1"/>
    <w:rsid w:val="00B80B9A"/>
    <w:rsid w:val="00BA58B6"/>
    <w:rsid w:val="00BB7A1B"/>
    <w:rsid w:val="00BD0AD6"/>
    <w:rsid w:val="00BE3544"/>
    <w:rsid w:val="00BE4DE2"/>
    <w:rsid w:val="00BF0543"/>
    <w:rsid w:val="00BF1309"/>
    <w:rsid w:val="00BF6FC9"/>
    <w:rsid w:val="00C60312"/>
    <w:rsid w:val="00C67767"/>
    <w:rsid w:val="00C852C0"/>
    <w:rsid w:val="00C911E0"/>
    <w:rsid w:val="00CA0EE1"/>
    <w:rsid w:val="00CC158C"/>
    <w:rsid w:val="00CC733C"/>
    <w:rsid w:val="00CD5DEA"/>
    <w:rsid w:val="00CD6824"/>
    <w:rsid w:val="00CD6A74"/>
    <w:rsid w:val="00CE069D"/>
    <w:rsid w:val="00D004E0"/>
    <w:rsid w:val="00D01409"/>
    <w:rsid w:val="00D21859"/>
    <w:rsid w:val="00D24ACE"/>
    <w:rsid w:val="00D30334"/>
    <w:rsid w:val="00D33297"/>
    <w:rsid w:val="00D350B3"/>
    <w:rsid w:val="00D442FC"/>
    <w:rsid w:val="00D45DB1"/>
    <w:rsid w:val="00D73D72"/>
    <w:rsid w:val="00DA6270"/>
    <w:rsid w:val="00DA74F3"/>
    <w:rsid w:val="00DD53C8"/>
    <w:rsid w:val="00DD5B3F"/>
    <w:rsid w:val="00DE0AFD"/>
    <w:rsid w:val="00E227A1"/>
    <w:rsid w:val="00E25A1F"/>
    <w:rsid w:val="00E313B9"/>
    <w:rsid w:val="00E321BA"/>
    <w:rsid w:val="00E55730"/>
    <w:rsid w:val="00E72466"/>
    <w:rsid w:val="00E96731"/>
    <w:rsid w:val="00EB0393"/>
    <w:rsid w:val="00EB5E9F"/>
    <w:rsid w:val="00EC4938"/>
    <w:rsid w:val="00EE3FC8"/>
    <w:rsid w:val="00F21A9D"/>
    <w:rsid w:val="00F22C21"/>
    <w:rsid w:val="00F23D54"/>
    <w:rsid w:val="00F24D6B"/>
    <w:rsid w:val="00F305B0"/>
    <w:rsid w:val="00F3377B"/>
    <w:rsid w:val="00F43CD5"/>
    <w:rsid w:val="00F51CDD"/>
    <w:rsid w:val="00F82900"/>
    <w:rsid w:val="00F85EC5"/>
    <w:rsid w:val="00FA7073"/>
    <w:rsid w:val="00FC7928"/>
    <w:rsid w:val="00FD1BCB"/>
    <w:rsid w:val="00FD2A3F"/>
    <w:rsid w:val="00FD4D18"/>
    <w:rsid w:val="00FF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AF1E2-B30D-4207-9E92-A7798843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FE"/>
    <w:pPr>
      <w:spacing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860FFE"/>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60FFE"/>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828"/>
    <w:rPr>
      <w:color w:val="0563C1" w:themeColor="hyperlink"/>
      <w:u w:val="single"/>
    </w:rPr>
  </w:style>
  <w:style w:type="paragraph" w:styleId="NormalWeb">
    <w:name w:val="Normal (Web)"/>
    <w:basedOn w:val="Normal"/>
    <w:uiPriority w:val="99"/>
    <w:rsid w:val="000D29C8"/>
    <w:pPr>
      <w:spacing w:before="100" w:beforeAutospacing="1" w:after="100" w:afterAutospacing="1"/>
    </w:pPr>
  </w:style>
  <w:style w:type="paragraph" w:styleId="ListParagraph">
    <w:name w:val="List Paragraph"/>
    <w:basedOn w:val="Normal"/>
    <w:uiPriority w:val="34"/>
    <w:qFormat/>
    <w:rsid w:val="008F2633"/>
    <w:pPr>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F305B0"/>
    <w:rPr>
      <w:rFonts w:ascii="Tahoma" w:hAnsi="Tahoma" w:cs="Tahoma"/>
      <w:sz w:val="16"/>
      <w:szCs w:val="16"/>
    </w:rPr>
  </w:style>
  <w:style w:type="character" w:customStyle="1" w:styleId="BalloonTextChar">
    <w:name w:val="Balloon Text Char"/>
    <w:basedOn w:val="DefaultParagraphFont"/>
    <w:link w:val="BalloonText"/>
    <w:uiPriority w:val="99"/>
    <w:semiHidden/>
    <w:rsid w:val="00F305B0"/>
    <w:rPr>
      <w:rFonts w:ascii="Tahoma" w:eastAsia="Times New Roman" w:hAnsi="Tahoma" w:cs="Tahoma"/>
      <w:sz w:val="16"/>
      <w:szCs w:val="16"/>
    </w:rPr>
  </w:style>
  <w:style w:type="character" w:customStyle="1" w:styleId="apple-style-span">
    <w:name w:val="apple-style-span"/>
    <w:rsid w:val="006A64F6"/>
    <w:rPr>
      <w:rFonts w:cs="Times New Roman"/>
    </w:rPr>
  </w:style>
  <w:style w:type="character" w:customStyle="1" w:styleId="Heading1Char">
    <w:name w:val="Heading 1 Char"/>
    <w:basedOn w:val="DefaultParagraphFont"/>
    <w:link w:val="Heading1"/>
    <w:uiPriority w:val="9"/>
    <w:rsid w:val="00860FFE"/>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60FFE"/>
    <w:rPr>
      <w:rFonts w:ascii="Arial" w:eastAsiaTheme="majorEastAsia" w:hAnsi="Arial" w:cstheme="majorBidi"/>
      <w:b/>
      <w:bCs/>
      <w:sz w:val="24"/>
      <w:szCs w:val="26"/>
    </w:rPr>
  </w:style>
  <w:style w:type="character" w:styleId="Emphasis">
    <w:name w:val="Emphasis"/>
    <w:basedOn w:val="DefaultParagraphFont"/>
    <w:uiPriority w:val="20"/>
    <w:qFormat/>
    <w:rsid w:val="001332AE"/>
    <w:rPr>
      <w:rFonts w:ascii="Arial" w:hAnsi="Arial"/>
      <w:b/>
      <w:i w:val="0"/>
      <w:iCs/>
      <w:sz w:val="24"/>
    </w:rPr>
  </w:style>
  <w:style w:type="table" w:styleId="TableGrid">
    <w:name w:val="Table Grid"/>
    <w:basedOn w:val="TableNormal"/>
    <w:uiPriority w:val="39"/>
    <w:rsid w:val="006C77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2690">
      <w:bodyDiv w:val="1"/>
      <w:marLeft w:val="0"/>
      <w:marRight w:val="0"/>
      <w:marTop w:val="0"/>
      <w:marBottom w:val="0"/>
      <w:divBdr>
        <w:top w:val="none" w:sz="0" w:space="0" w:color="auto"/>
        <w:left w:val="none" w:sz="0" w:space="0" w:color="auto"/>
        <w:bottom w:val="none" w:sz="0" w:space="0" w:color="auto"/>
        <w:right w:val="none" w:sz="0" w:space="0" w:color="auto"/>
      </w:divBdr>
    </w:div>
    <w:div w:id="248657900">
      <w:bodyDiv w:val="1"/>
      <w:marLeft w:val="0"/>
      <w:marRight w:val="0"/>
      <w:marTop w:val="0"/>
      <w:marBottom w:val="0"/>
      <w:divBdr>
        <w:top w:val="none" w:sz="0" w:space="0" w:color="auto"/>
        <w:left w:val="none" w:sz="0" w:space="0" w:color="auto"/>
        <w:bottom w:val="none" w:sz="0" w:space="0" w:color="auto"/>
        <w:right w:val="none" w:sz="0" w:space="0" w:color="auto"/>
      </w:divBdr>
    </w:div>
    <w:div w:id="261911697">
      <w:bodyDiv w:val="1"/>
      <w:marLeft w:val="0"/>
      <w:marRight w:val="0"/>
      <w:marTop w:val="0"/>
      <w:marBottom w:val="0"/>
      <w:divBdr>
        <w:top w:val="none" w:sz="0" w:space="0" w:color="auto"/>
        <w:left w:val="none" w:sz="0" w:space="0" w:color="auto"/>
        <w:bottom w:val="none" w:sz="0" w:space="0" w:color="auto"/>
        <w:right w:val="none" w:sz="0" w:space="0" w:color="auto"/>
      </w:divBdr>
    </w:div>
    <w:div w:id="371883400">
      <w:bodyDiv w:val="1"/>
      <w:marLeft w:val="0"/>
      <w:marRight w:val="0"/>
      <w:marTop w:val="0"/>
      <w:marBottom w:val="0"/>
      <w:divBdr>
        <w:top w:val="none" w:sz="0" w:space="0" w:color="auto"/>
        <w:left w:val="none" w:sz="0" w:space="0" w:color="auto"/>
        <w:bottom w:val="none" w:sz="0" w:space="0" w:color="auto"/>
        <w:right w:val="none" w:sz="0" w:space="0" w:color="auto"/>
      </w:divBdr>
    </w:div>
    <w:div w:id="404645916">
      <w:bodyDiv w:val="1"/>
      <w:marLeft w:val="0"/>
      <w:marRight w:val="0"/>
      <w:marTop w:val="0"/>
      <w:marBottom w:val="0"/>
      <w:divBdr>
        <w:top w:val="none" w:sz="0" w:space="0" w:color="auto"/>
        <w:left w:val="none" w:sz="0" w:space="0" w:color="auto"/>
        <w:bottom w:val="none" w:sz="0" w:space="0" w:color="auto"/>
        <w:right w:val="none" w:sz="0" w:space="0" w:color="auto"/>
      </w:divBdr>
    </w:div>
    <w:div w:id="496071253">
      <w:bodyDiv w:val="1"/>
      <w:marLeft w:val="0"/>
      <w:marRight w:val="0"/>
      <w:marTop w:val="0"/>
      <w:marBottom w:val="0"/>
      <w:divBdr>
        <w:top w:val="none" w:sz="0" w:space="0" w:color="auto"/>
        <w:left w:val="none" w:sz="0" w:space="0" w:color="auto"/>
        <w:bottom w:val="none" w:sz="0" w:space="0" w:color="auto"/>
        <w:right w:val="none" w:sz="0" w:space="0" w:color="auto"/>
      </w:divBdr>
    </w:div>
    <w:div w:id="807473913">
      <w:bodyDiv w:val="1"/>
      <w:marLeft w:val="0"/>
      <w:marRight w:val="0"/>
      <w:marTop w:val="0"/>
      <w:marBottom w:val="0"/>
      <w:divBdr>
        <w:top w:val="none" w:sz="0" w:space="0" w:color="auto"/>
        <w:left w:val="none" w:sz="0" w:space="0" w:color="auto"/>
        <w:bottom w:val="none" w:sz="0" w:space="0" w:color="auto"/>
        <w:right w:val="none" w:sz="0" w:space="0" w:color="auto"/>
      </w:divBdr>
    </w:div>
    <w:div w:id="996155874">
      <w:bodyDiv w:val="1"/>
      <w:marLeft w:val="0"/>
      <w:marRight w:val="0"/>
      <w:marTop w:val="0"/>
      <w:marBottom w:val="0"/>
      <w:divBdr>
        <w:top w:val="none" w:sz="0" w:space="0" w:color="auto"/>
        <w:left w:val="none" w:sz="0" w:space="0" w:color="auto"/>
        <w:bottom w:val="none" w:sz="0" w:space="0" w:color="auto"/>
        <w:right w:val="none" w:sz="0" w:space="0" w:color="auto"/>
      </w:divBdr>
    </w:div>
    <w:div w:id="1196384071">
      <w:bodyDiv w:val="1"/>
      <w:marLeft w:val="0"/>
      <w:marRight w:val="0"/>
      <w:marTop w:val="0"/>
      <w:marBottom w:val="0"/>
      <w:divBdr>
        <w:top w:val="none" w:sz="0" w:space="0" w:color="auto"/>
        <w:left w:val="none" w:sz="0" w:space="0" w:color="auto"/>
        <w:bottom w:val="none" w:sz="0" w:space="0" w:color="auto"/>
        <w:right w:val="none" w:sz="0" w:space="0" w:color="auto"/>
      </w:divBdr>
    </w:div>
    <w:div w:id="1299723530">
      <w:bodyDiv w:val="1"/>
      <w:marLeft w:val="0"/>
      <w:marRight w:val="0"/>
      <w:marTop w:val="0"/>
      <w:marBottom w:val="0"/>
      <w:divBdr>
        <w:top w:val="none" w:sz="0" w:space="0" w:color="auto"/>
        <w:left w:val="none" w:sz="0" w:space="0" w:color="auto"/>
        <w:bottom w:val="none" w:sz="0" w:space="0" w:color="auto"/>
        <w:right w:val="none" w:sz="0" w:space="0" w:color="auto"/>
      </w:divBdr>
    </w:div>
    <w:div w:id="1334451166">
      <w:bodyDiv w:val="1"/>
      <w:marLeft w:val="0"/>
      <w:marRight w:val="0"/>
      <w:marTop w:val="0"/>
      <w:marBottom w:val="0"/>
      <w:divBdr>
        <w:top w:val="none" w:sz="0" w:space="0" w:color="auto"/>
        <w:left w:val="none" w:sz="0" w:space="0" w:color="auto"/>
        <w:bottom w:val="none" w:sz="0" w:space="0" w:color="auto"/>
        <w:right w:val="none" w:sz="0" w:space="0" w:color="auto"/>
      </w:divBdr>
    </w:div>
    <w:div w:id="1348603183">
      <w:bodyDiv w:val="1"/>
      <w:marLeft w:val="0"/>
      <w:marRight w:val="0"/>
      <w:marTop w:val="0"/>
      <w:marBottom w:val="0"/>
      <w:divBdr>
        <w:top w:val="none" w:sz="0" w:space="0" w:color="auto"/>
        <w:left w:val="none" w:sz="0" w:space="0" w:color="auto"/>
        <w:bottom w:val="none" w:sz="0" w:space="0" w:color="auto"/>
        <w:right w:val="none" w:sz="0" w:space="0" w:color="auto"/>
      </w:divBdr>
    </w:div>
    <w:div w:id="1581939225">
      <w:bodyDiv w:val="1"/>
      <w:marLeft w:val="0"/>
      <w:marRight w:val="0"/>
      <w:marTop w:val="0"/>
      <w:marBottom w:val="0"/>
      <w:divBdr>
        <w:top w:val="none" w:sz="0" w:space="0" w:color="auto"/>
        <w:left w:val="none" w:sz="0" w:space="0" w:color="auto"/>
        <w:bottom w:val="none" w:sz="0" w:space="0" w:color="auto"/>
        <w:right w:val="none" w:sz="0" w:space="0" w:color="auto"/>
      </w:divBdr>
    </w:div>
    <w:div w:id="1728335685">
      <w:bodyDiv w:val="1"/>
      <w:marLeft w:val="0"/>
      <w:marRight w:val="0"/>
      <w:marTop w:val="0"/>
      <w:marBottom w:val="0"/>
      <w:divBdr>
        <w:top w:val="none" w:sz="0" w:space="0" w:color="auto"/>
        <w:left w:val="none" w:sz="0" w:space="0" w:color="auto"/>
        <w:bottom w:val="none" w:sz="0" w:space="0" w:color="auto"/>
        <w:right w:val="none" w:sz="0" w:space="0" w:color="auto"/>
      </w:divBdr>
    </w:div>
    <w:div w:id="1740131900">
      <w:bodyDiv w:val="1"/>
      <w:marLeft w:val="0"/>
      <w:marRight w:val="0"/>
      <w:marTop w:val="0"/>
      <w:marBottom w:val="0"/>
      <w:divBdr>
        <w:top w:val="none" w:sz="0" w:space="0" w:color="auto"/>
        <w:left w:val="none" w:sz="0" w:space="0" w:color="auto"/>
        <w:bottom w:val="none" w:sz="0" w:space="0" w:color="auto"/>
        <w:right w:val="none" w:sz="0" w:space="0" w:color="auto"/>
      </w:divBdr>
    </w:div>
    <w:div w:id="1780486199">
      <w:bodyDiv w:val="1"/>
      <w:marLeft w:val="0"/>
      <w:marRight w:val="0"/>
      <w:marTop w:val="0"/>
      <w:marBottom w:val="0"/>
      <w:divBdr>
        <w:top w:val="none" w:sz="0" w:space="0" w:color="auto"/>
        <w:left w:val="none" w:sz="0" w:space="0" w:color="auto"/>
        <w:bottom w:val="none" w:sz="0" w:space="0" w:color="auto"/>
        <w:right w:val="none" w:sz="0" w:space="0" w:color="auto"/>
      </w:divBdr>
    </w:div>
    <w:div w:id="1857646458">
      <w:bodyDiv w:val="1"/>
      <w:marLeft w:val="0"/>
      <w:marRight w:val="0"/>
      <w:marTop w:val="0"/>
      <w:marBottom w:val="0"/>
      <w:divBdr>
        <w:top w:val="none" w:sz="0" w:space="0" w:color="auto"/>
        <w:left w:val="none" w:sz="0" w:space="0" w:color="auto"/>
        <w:bottom w:val="none" w:sz="0" w:space="0" w:color="auto"/>
        <w:right w:val="none" w:sz="0" w:space="0" w:color="auto"/>
      </w:divBdr>
    </w:div>
    <w:div w:id="1972976731">
      <w:bodyDiv w:val="1"/>
      <w:marLeft w:val="0"/>
      <w:marRight w:val="0"/>
      <w:marTop w:val="0"/>
      <w:marBottom w:val="0"/>
      <w:divBdr>
        <w:top w:val="none" w:sz="0" w:space="0" w:color="auto"/>
        <w:left w:val="none" w:sz="0" w:space="0" w:color="auto"/>
        <w:bottom w:val="none" w:sz="0" w:space="0" w:color="auto"/>
        <w:right w:val="none" w:sz="0" w:space="0" w:color="auto"/>
      </w:divBdr>
    </w:div>
    <w:div w:id="1976058432">
      <w:bodyDiv w:val="1"/>
      <w:marLeft w:val="0"/>
      <w:marRight w:val="0"/>
      <w:marTop w:val="0"/>
      <w:marBottom w:val="0"/>
      <w:divBdr>
        <w:top w:val="none" w:sz="0" w:space="0" w:color="auto"/>
        <w:left w:val="none" w:sz="0" w:space="0" w:color="auto"/>
        <w:bottom w:val="none" w:sz="0" w:space="0" w:color="auto"/>
        <w:right w:val="none" w:sz="0" w:space="0" w:color="auto"/>
      </w:divBdr>
    </w:div>
    <w:div w:id="2058509294">
      <w:bodyDiv w:val="1"/>
      <w:marLeft w:val="0"/>
      <w:marRight w:val="0"/>
      <w:marTop w:val="0"/>
      <w:marBottom w:val="0"/>
      <w:divBdr>
        <w:top w:val="none" w:sz="0" w:space="0" w:color="auto"/>
        <w:left w:val="none" w:sz="0" w:space="0" w:color="auto"/>
        <w:bottom w:val="none" w:sz="0" w:space="0" w:color="auto"/>
        <w:right w:val="none" w:sz="0" w:space="0" w:color="auto"/>
      </w:divBdr>
    </w:div>
    <w:div w:id="206474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5</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Giles</dc:creator>
  <cp:lastModifiedBy>Todd Giles</cp:lastModifiedBy>
  <cp:revision>33</cp:revision>
  <cp:lastPrinted>2015-01-05T19:31:00Z</cp:lastPrinted>
  <dcterms:created xsi:type="dcterms:W3CDTF">2020-07-26T06:44:00Z</dcterms:created>
  <dcterms:modified xsi:type="dcterms:W3CDTF">2020-12-11T19:27:00Z</dcterms:modified>
</cp:coreProperties>
</file>