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97" w:rsidRPr="00F82897" w:rsidRDefault="00F82897" w:rsidP="00F82897">
      <w:pPr>
        <w:pStyle w:val="Heading1"/>
        <w:rPr>
          <w:rFonts w:ascii="Arial" w:hAnsi="Arial" w:cs="Arial"/>
          <w:b/>
          <w:color w:val="auto"/>
          <w:sz w:val="28"/>
          <w:szCs w:val="28"/>
        </w:rPr>
      </w:pPr>
      <w:r w:rsidRPr="00F82897">
        <w:rPr>
          <w:rFonts w:ascii="Arial" w:hAnsi="Arial" w:cs="Arial"/>
          <w:b/>
          <w:color w:val="auto"/>
          <w:sz w:val="28"/>
          <w:szCs w:val="28"/>
        </w:rPr>
        <w:t>RESEARCH METHODS II</w:t>
      </w:r>
    </w:p>
    <w:p w:rsidR="00F82897" w:rsidRPr="00F82897" w:rsidRDefault="00F82897" w:rsidP="00F82897">
      <w:pPr>
        <w:pStyle w:val="Heading1"/>
        <w:rPr>
          <w:rFonts w:ascii="Arial" w:hAnsi="Arial" w:cs="Arial"/>
          <w:b/>
          <w:color w:val="auto"/>
          <w:sz w:val="28"/>
          <w:szCs w:val="28"/>
        </w:rPr>
      </w:pPr>
      <w:r w:rsidRPr="00F82897">
        <w:rPr>
          <w:rFonts w:ascii="Arial" w:hAnsi="Arial" w:cs="Arial"/>
          <w:b/>
          <w:color w:val="auto"/>
          <w:sz w:val="28"/>
          <w:szCs w:val="28"/>
        </w:rPr>
        <w:t xml:space="preserve">RADS 6773 RESEARCH METHODS II – </w:t>
      </w:r>
      <w:proofErr w:type="gramStart"/>
      <w:r w:rsidR="00414EC0">
        <w:rPr>
          <w:rFonts w:ascii="Arial" w:hAnsi="Arial" w:cs="Arial"/>
          <w:b/>
          <w:color w:val="auto"/>
          <w:sz w:val="28"/>
          <w:szCs w:val="28"/>
        </w:rPr>
        <w:t>Fall</w:t>
      </w:r>
      <w:proofErr w:type="gramEnd"/>
      <w:r w:rsidR="00414EC0">
        <w:rPr>
          <w:rFonts w:ascii="Arial" w:hAnsi="Arial" w:cs="Arial"/>
          <w:b/>
          <w:color w:val="auto"/>
          <w:sz w:val="28"/>
          <w:szCs w:val="28"/>
        </w:rPr>
        <w:t xml:space="preserve"> 2019</w:t>
      </w:r>
    </w:p>
    <w:p w:rsidR="00F82897" w:rsidRDefault="00F82897" w:rsidP="00F82897">
      <w:pPr>
        <w:rPr>
          <w:rFonts w:ascii="Abadi MT Condensed Light" w:hAnsi="Abadi MT Condensed Light" w:cs="Arial"/>
          <w:szCs w:val="38"/>
        </w:rPr>
      </w:pPr>
    </w:p>
    <w:p w:rsidR="00FE09E1" w:rsidRPr="00FE09E1" w:rsidRDefault="00FE09E1" w:rsidP="00F82897">
      <w:pPr>
        <w:rPr>
          <w:rFonts w:ascii="Arial" w:hAnsi="Arial" w:cs="Arial"/>
          <w:szCs w:val="38"/>
        </w:rPr>
      </w:pPr>
      <w:r w:rsidRPr="00FE09E1">
        <w:rPr>
          <w:rFonts w:ascii="Arial" w:hAnsi="Arial" w:cs="Arial"/>
          <w:szCs w:val="38"/>
        </w:rPr>
        <w:t xml:space="preserve">Lynette Watts, PhD, RT(R) </w:t>
      </w:r>
    </w:p>
    <w:p w:rsidR="00FE09E1" w:rsidRPr="00FE09E1" w:rsidRDefault="00FE09E1" w:rsidP="00F82897">
      <w:pPr>
        <w:rPr>
          <w:rFonts w:ascii="Arial" w:hAnsi="Arial" w:cs="Arial"/>
          <w:szCs w:val="38"/>
        </w:rPr>
      </w:pPr>
      <w:r w:rsidRPr="00FE09E1">
        <w:rPr>
          <w:rFonts w:ascii="Arial" w:hAnsi="Arial" w:cs="Arial"/>
          <w:szCs w:val="38"/>
        </w:rPr>
        <w:t>Centennial Hall, 430L</w:t>
      </w:r>
    </w:p>
    <w:p w:rsidR="00FE09E1" w:rsidRPr="00FE09E1" w:rsidRDefault="00FE09E1" w:rsidP="00F82897">
      <w:pPr>
        <w:rPr>
          <w:rFonts w:ascii="Arial" w:hAnsi="Arial" w:cs="Arial"/>
          <w:szCs w:val="38"/>
        </w:rPr>
      </w:pPr>
      <w:r w:rsidRPr="00FE09E1">
        <w:rPr>
          <w:rFonts w:ascii="Arial" w:hAnsi="Arial" w:cs="Arial"/>
          <w:szCs w:val="38"/>
        </w:rPr>
        <w:t>940-867-0374</w:t>
      </w:r>
      <w:bookmarkStart w:id="0" w:name="_GoBack"/>
      <w:bookmarkEnd w:id="0"/>
    </w:p>
    <w:p w:rsidR="00FE09E1" w:rsidRPr="00FE09E1" w:rsidRDefault="00FE09E1" w:rsidP="00F82897">
      <w:pPr>
        <w:rPr>
          <w:rFonts w:ascii="Arial" w:hAnsi="Arial" w:cs="Arial"/>
          <w:szCs w:val="38"/>
        </w:rPr>
      </w:pPr>
      <w:r w:rsidRPr="00FE09E1">
        <w:rPr>
          <w:rFonts w:ascii="Arial" w:hAnsi="Arial" w:cs="Arial"/>
          <w:szCs w:val="38"/>
        </w:rPr>
        <w:t>Lynette.watts@msutexas.edu</w:t>
      </w:r>
    </w:p>
    <w:p w:rsidR="00FE09E1" w:rsidRDefault="00FE09E1" w:rsidP="00F82897">
      <w:pPr>
        <w:pStyle w:val="Heading2"/>
        <w:rPr>
          <w:rFonts w:ascii="Arial" w:hAnsi="Arial" w:cs="Arial"/>
        </w:rPr>
      </w:pPr>
    </w:p>
    <w:p w:rsidR="00F82897" w:rsidRPr="00F82897" w:rsidRDefault="00F82897" w:rsidP="00F82897">
      <w:pPr>
        <w:pStyle w:val="Heading2"/>
        <w:rPr>
          <w:rFonts w:ascii="Arial" w:hAnsi="Arial" w:cs="Arial"/>
        </w:rPr>
      </w:pPr>
      <w:r w:rsidRPr="00F82897">
        <w:rPr>
          <w:rFonts w:ascii="Arial" w:hAnsi="Arial" w:cs="Arial"/>
        </w:rPr>
        <w:t>COURSE DESCRIPTION</w:t>
      </w:r>
    </w:p>
    <w:p w:rsidR="00F82897" w:rsidRPr="00F82897" w:rsidRDefault="00F82897" w:rsidP="00F82897">
      <w:pPr>
        <w:rPr>
          <w:rFonts w:ascii="Arial" w:hAnsi="Arial" w:cs="Arial"/>
          <w:szCs w:val="38"/>
        </w:rPr>
      </w:pPr>
      <w:r w:rsidRPr="00F82897">
        <w:rPr>
          <w:rFonts w:ascii="Arial" w:hAnsi="Arial" w:cs="Arial"/>
          <w:i/>
          <w:szCs w:val="38"/>
        </w:rPr>
        <w:t xml:space="preserve">Prerequisite: </w:t>
      </w:r>
      <w:r w:rsidRPr="00F82897">
        <w:rPr>
          <w:rFonts w:ascii="Arial" w:hAnsi="Arial" w:cs="Arial"/>
          <w:szCs w:val="38"/>
        </w:rPr>
        <w:t>RADS 5003 – Research Methods I</w:t>
      </w:r>
    </w:p>
    <w:p w:rsidR="00F82897" w:rsidRPr="00F82897" w:rsidRDefault="00F82897" w:rsidP="00F82897">
      <w:pPr>
        <w:rPr>
          <w:rFonts w:ascii="Arial" w:hAnsi="Arial" w:cs="Arial"/>
          <w:szCs w:val="38"/>
        </w:rPr>
      </w:pPr>
      <w:r w:rsidRPr="00F82897">
        <w:rPr>
          <w:rFonts w:ascii="Arial" w:hAnsi="Arial" w:cs="Arial"/>
          <w:szCs w:val="38"/>
        </w:rPr>
        <w:t>Online course providing opportunities to develop skills in information literacy, including critical analyses of published research. Students develop a substantial, scholarly research paper that demonstrates graduate-level writing. Students must register for this course each semester until the scholarly paper is satisfactorily completed.</w:t>
      </w:r>
    </w:p>
    <w:p w:rsidR="00F82897" w:rsidRPr="00F82897" w:rsidRDefault="00F82897" w:rsidP="00F82897">
      <w:pPr>
        <w:rPr>
          <w:rFonts w:ascii="Arial" w:hAnsi="Arial" w:cs="Arial"/>
          <w:szCs w:val="38"/>
        </w:rPr>
      </w:pPr>
    </w:p>
    <w:p w:rsidR="00F82897" w:rsidRPr="00F82897" w:rsidRDefault="00F82897" w:rsidP="00F82897">
      <w:pPr>
        <w:pStyle w:val="Heading2"/>
        <w:rPr>
          <w:rFonts w:ascii="Arial" w:hAnsi="Arial" w:cs="Arial"/>
        </w:rPr>
      </w:pPr>
      <w:r w:rsidRPr="00F82897">
        <w:rPr>
          <w:rFonts w:ascii="Arial" w:hAnsi="Arial" w:cs="Arial"/>
        </w:rPr>
        <w:t>COURSE OBJECTIVES</w:t>
      </w:r>
    </w:p>
    <w:p w:rsidR="00F82897" w:rsidRPr="00F82897" w:rsidRDefault="00F82897" w:rsidP="00F82897">
      <w:pPr>
        <w:rPr>
          <w:rFonts w:ascii="Arial" w:hAnsi="Arial" w:cs="Arial"/>
          <w:szCs w:val="38"/>
        </w:rPr>
      </w:pPr>
      <w:r w:rsidRPr="00F82897">
        <w:rPr>
          <w:rFonts w:ascii="Arial" w:hAnsi="Arial" w:cs="Arial"/>
          <w:szCs w:val="38"/>
        </w:rPr>
        <w:t>Upon successful completion of this course, the students will:</w:t>
      </w:r>
    </w:p>
    <w:p w:rsidR="00F82897" w:rsidRPr="00F82897" w:rsidRDefault="00F82897" w:rsidP="00F82897">
      <w:pPr>
        <w:pStyle w:val="ListParagraph"/>
        <w:numPr>
          <w:ilvl w:val="0"/>
          <w:numId w:val="1"/>
        </w:numPr>
        <w:rPr>
          <w:rFonts w:ascii="Arial" w:hAnsi="Arial" w:cs="Arial"/>
          <w:szCs w:val="38"/>
        </w:rPr>
      </w:pPr>
      <w:r w:rsidRPr="00F82897">
        <w:rPr>
          <w:rFonts w:ascii="Arial" w:hAnsi="Arial" w:cs="Arial"/>
          <w:szCs w:val="38"/>
        </w:rPr>
        <w:t>Complete a substantial scholarly paper (literature review) on an approved topic of interest in imaging sciences and radiation therapy using the American Psychological Association (APA) writing style.</w:t>
      </w:r>
    </w:p>
    <w:p w:rsidR="00F82897" w:rsidRPr="00F82897" w:rsidRDefault="00F82897" w:rsidP="00F82897">
      <w:pPr>
        <w:pStyle w:val="ListParagraph"/>
        <w:numPr>
          <w:ilvl w:val="0"/>
          <w:numId w:val="1"/>
        </w:numPr>
        <w:rPr>
          <w:rFonts w:ascii="Arial" w:hAnsi="Arial" w:cs="Arial"/>
          <w:szCs w:val="38"/>
        </w:rPr>
      </w:pPr>
      <w:r w:rsidRPr="00F82897">
        <w:rPr>
          <w:rFonts w:ascii="Arial" w:hAnsi="Arial" w:cs="Arial"/>
          <w:szCs w:val="38"/>
        </w:rPr>
        <w:t>Prepare a personal reflection.</w:t>
      </w:r>
    </w:p>
    <w:p w:rsidR="00F82897" w:rsidRPr="00F82897" w:rsidRDefault="00F82897" w:rsidP="00F82897">
      <w:pPr>
        <w:rPr>
          <w:rFonts w:ascii="Arial" w:hAnsi="Arial" w:cs="Arial"/>
          <w:b/>
          <w:szCs w:val="38"/>
        </w:rPr>
      </w:pPr>
    </w:p>
    <w:p w:rsidR="00F82897" w:rsidRPr="00F82897" w:rsidRDefault="00F82897" w:rsidP="00F82897">
      <w:pPr>
        <w:pStyle w:val="Heading2"/>
        <w:rPr>
          <w:rFonts w:ascii="Arial" w:hAnsi="Arial" w:cs="Arial"/>
        </w:rPr>
      </w:pPr>
      <w:r w:rsidRPr="00F82897">
        <w:rPr>
          <w:rFonts w:ascii="Arial" w:hAnsi="Arial" w:cs="Arial"/>
        </w:rPr>
        <w:t>TEXTBOOKS</w:t>
      </w:r>
    </w:p>
    <w:p w:rsidR="00F82897" w:rsidRPr="00F82897" w:rsidRDefault="00F82897" w:rsidP="00F82897">
      <w:pPr>
        <w:ind w:left="720" w:hanging="720"/>
        <w:rPr>
          <w:rFonts w:ascii="Arial" w:hAnsi="Arial" w:cs="Arial"/>
          <w:i/>
          <w:szCs w:val="38"/>
        </w:rPr>
      </w:pPr>
      <w:r w:rsidRPr="00F82897">
        <w:rPr>
          <w:rFonts w:ascii="Arial" w:hAnsi="Arial" w:cs="Arial"/>
          <w:i/>
          <w:szCs w:val="38"/>
        </w:rPr>
        <w:t>Required</w:t>
      </w:r>
    </w:p>
    <w:p w:rsidR="00F82897" w:rsidRDefault="00F82897" w:rsidP="00F82897">
      <w:pPr>
        <w:ind w:left="720" w:hanging="720"/>
        <w:rPr>
          <w:rFonts w:ascii="Arial" w:hAnsi="Arial" w:cs="Arial"/>
          <w:szCs w:val="38"/>
        </w:rPr>
      </w:pPr>
      <w:r w:rsidRPr="00F82897">
        <w:rPr>
          <w:rFonts w:ascii="Arial" w:hAnsi="Arial" w:cs="Arial"/>
          <w:szCs w:val="38"/>
        </w:rPr>
        <w:t xml:space="preserve">American Psychological Association. (2010). </w:t>
      </w:r>
      <w:r w:rsidRPr="00F82897">
        <w:rPr>
          <w:rFonts w:ascii="Arial" w:hAnsi="Arial" w:cs="Arial"/>
          <w:i/>
          <w:szCs w:val="38"/>
        </w:rPr>
        <w:t xml:space="preserve">Publication manual of the American Psychological Association </w:t>
      </w:r>
      <w:r w:rsidRPr="00F82897">
        <w:rPr>
          <w:rFonts w:ascii="Arial" w:hAnsi="Arial" w:cs="Arial"/>
          <w:szCs w:val="38"/>
        </w:rPr>
        <w:t>(6</w:t>
      </w:r>
      <w:r w:rsidRPr="00F82897">
        <w:rPr>
          <w:rFonts w:ascii="Arial" w:hAnsi="Arial" w:cs="Arial"/>
          <w:szCs w:val="38"/>
          <w:vertAlign w:val="superscript"/>
        </w:rPr>
        <w:t>th</w:t>
      </w:r>
      <w:r w:rsidRPr="00F82897">
        <w:rPr>
          <w:rFonts w:ascii="Arial" w:hAnsi="Arial" w:cs="Arial"/>
          <w:szCs w:val="38"/>
        </w:rPr>
        <w:t xml:space="preserve"> </w:t>
      </w:r>
      <w:proofErr w:type="gramStart"/>
      <w:r w:rsidRPr="00F82897">
        <w:rPr>
          <w:rFonts w:ascii="Arial" w:hAnsi="Arial" w:cs="Arial"/>
          <w:szCs w:val="38"/>
        </w:rPr>
        <w:t>ed</w:t>
      </w:r>
      <w:proofErr w:type="gramEnd"/>
      <w:r w:rsidRPr="00F82897">
        <w:rPr>
          <w:rFonts w:ascii="Arial" w:hAnsi="Arial" w:cs="Arial"/>
          <w:szCs w:val="38"/>
        </w:rPr>
        <w:t>.). Washington, DC: Author. [ISBN: 9781433805615]</w:t>
      </w:r>
    </w:p>
    <w:p w:rsidR="002F3964" w:rsidRDefault="002F3964" w:rsidP="00F82897">
      <w:pPr>
        <w:pStyle w:val="Heading2"/>
        <w:rPr>
          <w:rFonts w:ascii="Arial" w:hAnsi="Arial" w:cs="Arial"/>
        </w:rPr>
      </w:pPr>
    </w:p>
    <w:p w:rsidR="00F82897" w:rsidRPr="00F82897" w:rsidRDefault="00F82897" w:rsidP="00F82897">
      <w:pPr>
        <w:pStyle w:val="Heading2"/>
        <w:rPr>
          <w:rFonts w:ascii="Arial" w:hAnsi="Arial" w:cs="Arial"/>
        </w:rPr>
      </w:pPr>
      <w:r w:rsidRPr="00F82897">
        <w:rPr>
          <w:rFonts w:ascii="Arial" w:hAnsi="Arial" w:cs="Arial"/>
        </w:rPr>
        <w:t>GRADING</w:t>
      </w:r>
    </w:p>
    <w:p w:rsidR="00F82897" w:rsidRPr="00F82897" w:rsidRDefault="00F82897" w:rsidP="00F82897">
      <w:pPr>
        <w:rPr>
          <w:rFonts w:ascii="Arial" w:hAnsi="Arial" w:cs="Arial"/>
          <w:szCs w:val="38"/>
        </w:rPr>
      </w:pPr>
      <w:r w:rsidRPr="00F82897">
        <w:rPr>
          <w:rFonts w:ascii="Arial" w:hAnsi="Arial" w:cs="Arial"/>
          <w:szCs w:val="38"/>
        </w:rPr>
        <w:t>50% Scholarly Research Paper (Literature review)</w:t>
      </w:r>
      <w:r w:rsidRPr="00F82897">
        <w:rPr>
          <w:rFonts w:ascii="Arial" w:hAnsi="Arial" w:cs="Arial"/>
          <w:noProof/>
          <w:szCs w:val="38"/>
        </w:rPr>
        <w:t xml:space="preserve"> </w:t>
      </w:r>
    </w:p>
    <w:p w:rsidR="00F82897" w:rsidRPr="00F82897" w:rsidRDefault="00F82897" w:rsidP="00F82897">
      <w:pPr>
        <w:rPr>
          <w:rFonts w:ascii="Arial" w:hAnsi="Arial" w:cs="Arial"/>
          <w:szCs w:val="38"/>
        </w:rPr>
      </w:pPr>
      <w:r w:rsidRPr="00F82897">
        <w:rPr>
          <w:rFonts w:ascii="Arial" w:hAnsi="Arial" w:cs="Arial"/>
          <w:szCs w:val="38"/>
        </w:rPr>
        <w:t>25% Personal Reflection</w:t>
      </w:r>
    </w:p>
    <w:p w:rsidR="00F82897" w:rsidRPr="00F82897" w:rsidRDefault="00F82897" w:rsidP="00F82897">
      <w:pPr>
        <w:rPr>
          <w:rFonts w:ascii="Arial" w:hAnsi="Arial" w:cs="Arial"/>
          <w:szCs w:val="38"/>
        </w:rPr>
      </w:pPr>
      <w:r w:rsidRPr="00F82897">
        <w:rPr>
          <w:rFonts w:ascii="Arial" w:hAnsi="Arial" w:cs="Arial"/>
          <w:szCs w:val="38"/>
        </w:rPr>
        <w:t>15% Synthesis Matrix</w:t>
      </w:r>
    </w:p>
    <w:p w:rsidR="00F82897" w:rsidRDefault="00F82897" w:rsidP="00F82897">
      <w:pPr>
        <w:rPr>
          <w:rFonts w:ascii="Arial" w:hAnsi="Arial" w:cs="Arial"/>
          <w:szCs w:val="38"/>
        </w:rPr>
      </w:pPr>
      <w:r w:rsidRPr="00F82897">
        <w:rPr>
          <w:rFonts w:ascii="Arial" w:hAnsi="Arial" w:cs="Arial"/>
          <w:szCs w:val="38"/>
        </w:rPr>
        <w:t>10% Class Participation</w:t>
      </w:r>
    </w:p>
    <w:p w:rsidR="00F82897" w:rsidRPr="00A077D9" w:rsidRDefault="00F82897" w:rsidP="00A077D9">
      <w:pPr>
        <w:pStyle w:val="Heading2"/>
        <w:rPr>
          <w:rFonts w:ascii="Arial" w:hAnsi="Arial" w:cs="Arial"/>
          <w:b/>
          <w:color w:val="auto"/>
        </w:rPr>
      </w:pPr>
      <w:r w:rsidRPr="00A077D9">
        <w:rPr>
          <w:rFonts w:ascii="Arial" w:hAnsi="Arial" w:cs="Arial"/>
          <w:b/>
          <w:color w:val="auto"/>
        </w:rPr>
        <w:lastRenderedPageBreak/>
        <w:t>COURSE SCHEDULE WITH ASSIGNMENT DUE DATES</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Table of schedule"/>
        <w:tblDescription w:val="This table contains the assignments and corresponding due dates."/>
      </w:tblPr>
      <w:tblGrid>
        <w:gridCol w:w="2012"/>
        <w:gridCol w:w="6408"/>
      </w:tblGrid>
      <w:tr w:rsidR="00A077D9" w:rsidRPr="00A077D9" w:rsidTr="00A077D9">
        <w:trPr>
          <w:trHeight w:val="432"/>
          <w:tblHeader/>
          <w:jc w:val="center"/>
        </w:trPr>
        <w:tc>
          <w:tcPr>
            <w:tcW w:w="2012" w:type="dxa"/>
            <w:vAlign w:val="center"/>
          </w:tcPr>
          <w:p w:rsidR="00F82897" w:rsidRPr="00A077D9" w:rsidRDefault="00F82897" w:rsidP="00AB6DD0">
            <w:pPr>
              <w:pStyle w:val="Heading2"/>
              <w:outlineLvl w:val="1"/>
              <w:rPr>
                <w:rFonts w:ascii="Arial" w:hAnsi="Arial" w:cs="Arial"/>
                <w:b/>
                <w:color w:val="auto"/>
              </w:rPr>
            </w:pPr>
            <w:r w:rsidRPr="00A077D9">
              <w:rPr>
                <w:rFonts w:ascii="Arial" w:hAnsi="Arial" w:cs="Arial"/>
                <w:b/>
                <w:color w:val="auto"/>
              </w:rPr>
              <w:t>Date</w:t>
            </w:r>
          </w:p>
        </w:tc>
        <w:tc>
          <w:tcPr>
            <w:tcW w:w="6408" w:type="dxa"/>
            <w:vAlign w:val="center"/>
          </w:tcPr>
          <w:p w:rsidR="00F82897" w:rsidRPr="00A077D9" w:rsidRDefault="00F82897" w:rsidP="00AB6DD0">
            <w:pPr>
              <w:pStyle w:val="Heading2"/>
              <w:outlineLvl w:val="1"/>
              <w:rPr>
                <w:rFonts w:ascii="Arial" w:hAnsi="Arial" w:cs="Arial"/>
                <w:b/>
                <w:color w:val="auto"/>
              </w:rPr>
            </w:pPr>
            <w:r w:rsidRPr="00A077D9">
              <w:rPr>
                <w:rFonts w:ascii="Arial" w:hAnsi="Arial" w:cs="Arial"/>
                <w:b/>
                <w:color w:val="auto"/>
              </w:rPr>
              <w:t>Assignment/Activity</w:t>
            </w:r>
          </w:p>
        </w:tc>
      </w:tr>
      <w:tr w:rsidR="00F82897" w:rsidRPr="00F82897" w:rsidTr="00224A5A">
        <w:trPr>
          <w:trHeight w:val="432"/>
          <w:jc w:val="center"/>
        </w:trPr>
        <w:tc>
          <w:tcPr>
            <w:tcW w:w="2012" w:type="dxa"/>
            <w:vAlign w:val="center"/>
          </w:tcPr>
          <w:p w:rsidR="00F82897" w:rsidRPr="00F82897" w:rsidRDefault="00FE09E1" w:rsidP="00F82897">
            <w:pPr>
              <w:pStyle w:val="Heading2"/>
              <w:outlineLvl w:val="1"/>
              <w:rPr>
                <w:b/>
                <w:color w:val="auto"/>
                <w:sz w:val="24"/>
                <w:szCs w:val="24"/>
              </w:rPr>
            </w:pPr>
            <w:r>
              <w:rPr>
                <w:b/>
                <w:color w:val="auto"/>
                <w:sz w:val="24"/>
                <w:szCs w:val="24"/>
              </w:rPr>
              <w:t>August 24</w:t>
            </w:r>
          </w:p>
        </w:tc>
        <w:tc>
          <w:tcPr>
            <w:tcW w:w="6408" w:type="dxa"/>
            <w:vAlign w:val="center"/>
          </w:tcPr>
          <w:p w:rsidR="00F82897" w:rsidRPr="00F82897" w:rsidRDefault="00F82897" w:rsidP="00F82897">
            <w:pPr>
              <w:pStyle w:val="Heading2"/>
              <w:outlineLvl w:val="1"/>
              <w:rPr>
                <w:b/>
                <w:color w:val="auto"/>
                <w:sz w:val="24"/>
                <w:szCs w:val="24"/>
              </w:rPr>
            </w:pPr>
            <w:r w:rsidRPr="00F82897">
              <w:rPr>
                <w:b/>
                <w:color w:val="auto"/>
                <w:sz w:val="24"/>
                <w:szCs w:val="24"/>
              </w:rPr>
              <w:t>Class Starts</w:t>
            </w:r>
          </w:p>
        </w:tc>
      </w:tr>
      <w:tr w:rsidR="00F82897" w:rsidRPr="00F82897" w:rsidTr="00224A5A">
        <w:trPr>
          <w:trHeight w:val="432"/>
          <w:jc w:val="center"/>
        </w:trPr>
        <w:tc>
          <w:tcPr>
            <w:tcW w:w="2012" w:type="dxa"/>
            <w:vAlign w:val="center"/>
          </w:tcPr>
          <w:p w:rsidR="00F82897" w:rsidRPr="00F82897" w:rsidRDefault="00F82897" w:rsidP="00F82897">
            <w:pPr>
              <w:pStyle w:val="Heading2"/>
              <w:outlineLvl w:val="1"/>
              <w:rPr>
                <w:b/>
                <w:color w:val="auto"/>
                <w:sz w:val="24"/>
                <w:szCs w:val="24"/>
              </w:rPr>
            </w:pPr>
            <w:r w:rsidRPr="00F82897">
              <w:rPr>
                <w:b/>
                <w:color w:val="auto"/>
                <w:sz w:val="24"/>
                <w:szCs w:val="24"/>
              </w:rPr>
              <w:t>September 3</w:t>
            </w:r>
          </w:p>
        </w:tc>
        <w:tc>
          <w:tcPr>
            <w:tcW w:w="6408" w:type="dxa"/>
            <w:vAlign w:val="center"/>
          </w:tcPr>
          <w:p w:rsidR="00F82897" w:rsidRPr="00F82897" w:rsidRDefault="00F82897" w:rsidP="00F82897">
            <w:pPr>
              <w:pStyle w:val="Heading2"/>
              <w:outlineLvl w:val="1"/>
              <w:rPr>
                <w:b/>
                <w:color w:val="auto"/>
                <w:sz w:val="24"/>
                <w:szCs w:val="24"/>
              </w:rPr>
            </w:pPr>
            <w:r w:rsidRPr="00F82897">
              <w:rPr>
                <w:b/>
                <w:color w:val="auto"/>
                <w:sz w:val="24"/>
                <w:szCs w:val="24"/>
              </w:rPr>
              <w:t xml:space="preserve">Topic Approval </w:t>
            </w:r>
          </w:p>
        </w:tc>
      </w:tr>
      <w:tr w:rsidR="00F82897" w:rsidRPr="00F82897" w:rsidTr="00224A5A">
        <w:trPr>
          <w:trHeight w:val="432"/>
          <w:jc w:val="center"/>
        </w:trPr>
        <w:tc>
          <w:tcPr>
            <w:tcW w:w="2012" w:type="dxa"/>
            <w:vAlign w:val="center"/>
          </w:tcPr>
          <w:p w:rsidR="00F82897" w:rsidRPr="00F82897" w:rsidRDefault="00F82897" w:rsidP="00F82897">
            <w:pPr>
              <w:pStyle w:val="Heading2"/>
              <w:outlineLvl w:val="1"/>
              <w:rPr>
                <w:b/>
                <w:color w:val="auto"/>
                <w:sz w:val="24"/>
                <w:szCs w:val="24"/>
              </w:rPr>
            </w:pPr>
            <w:r w:rsidRPr="00F82897">
              <w:rPr>
                <w:b/>
                <w:color w:val="auto"/>
                <w:sz w:val="24"/>
                <w:szCs w:val="24"/>
              </w:rPr>
              <w:t>September 24</w:t>
            </w:r>
          </w:p>
        </w:tc>
        <w:tc>
          <w:tcPr>
            <w:tcW w:w="6408" w:type="dxa"/>
            <w:vAlign w:val="center"/>
          </w:tcPr>
          <w:p w:rsidR="00F82897" w:rsidRPr="00F82897" w:rsidRDefault="00F82897" w:rsidP="00F82897">
            <w:pPr>
              <w:pStyle w:val="Heading2"/>
              <w:outlineLvl w:val="1"/>
              <w:rPr>
                <w:b/>
                <w:color w:val="auto"/>
                <w:sz w:val="24"/>
                <w:szCs w:val="24"/>
              </w:rPr>
            </w:pPr>
            <w:r w:rsidRPr="00F82897">
              <w:rPr>
                <w:b/>
                <w:color w:val="auto"/>
                <w:sz w:val="24"/>
                <w:szCs w:val="24"/>
              </w:rPr>
              <w:t>Synthesis Matrix</w:t>
            </w:r>
          </w:p>
        </w:tc>
      </w:tr>
      <w:tr w:rsidR="00F82897" w:rsidRPr="00F82897" w:rsidTr="00224A5A">
        <w:trPr>
          <w:trHeight w:val="432"/>
          <w:jc w:val="center"/>
        </w:trPr>
        <w:tc>
          <w:tcPr>
            <w:tcW w:w="2012" w:type="dxa"/>
            <w:vAlign w:val="center"/>
          </w:tcPr>
          <w:p w:rsidR="00F82897" w:rsidRPr="00F82897" w:rsidRDefault="00F82897" w:rsidP="00F82897">
            <w:pPr>
              <w:pStyle w:val="Heading2"/>
              <w:outlineLvl w:val="1"/>
              <w:rPr>
                <w:b/>
                <w:color w:val="auto"/>
                <w:sz w:val="24"/>
                <w:szCs w:val="24"/>
              </w:rPr>
            </w:pPr>
            <w:r w:rsidRPr="00F82897">
              <w:rPr>
                <w:b/>
                <w:color w:val="auto"/>
                <w:sz w:val="24"/>
                <w:szCs w:val="24"/>
              </w:rPr>
              <w:t>October 15</w:t>
            </w:r>
          </w:p>
        </w:tc>
        <w:tc>
          <w:tcPr>
            <w:tcW w:w="6408" w:type="dxa"/>
            <w:vAlign w:val="center"/>
          </w:tcPr>
          <w:p w:rsidR="00F82897" w:rsidRPr="00F82897" w:rsidRDefault="00F82897" w:rsidP="00F82897">
            <w:pPr>
              <w:pStyle w:val="Heading2"/>
              <w:outlineLvl w:val="1"/>
              <w:rPr>
                <w:b/>
                <w:color w:val="auto"/>
                <w:sz w:val="24"/>
                <w:szCs w:val="24"/>
              </w:rPr>
            </w:pPr>
            <w:r w:rsidRPr="00F82897">
              <w:rPr>
                <w:b/>
                <w:color w:val="auto"/>
                <w:sz w:val="24"/>
                <w:szCs w:val="24"/>
              </w:rPr>
              <w:t>First Draft</w:t>
            </w:r>
          </w:p>
        </w:tc>
      </w:tr>
      <w:tr w:rsidR="00F82897" w:rsidRPr="00F82897" w:rsidTr="00224A5A">
        <w:trPr>
          <w:trHeight w:val="432"/>
          <w:jc w:val="center"/>
        </w:trPr>
        <w:tc>
          <w:tcPr>
            <w:tcW w:w="2012" w:type="dxa"/>
            <w:vAlign w:val="center"/>
          </w:tcPr>
          <w:p w:rsidR="00F82897" w:rsidRPr="00F82897" w:rsidRDefault="00F82897" w:rsidP="00F82897">
            <w:pPr>
              <w:pStyle w:val="Heading2"/>
              <w:outlineLvl w:val="1"/>
              <w:rPr>
                <w:b/>
                <w:color w:val="auto"/>
                <w:sz w:val="24"/>
                <w:szCs w:val="24"/>
              </w:rPr>
            </w:pPr>
            <w:r w:rsidRPr="00F82897">
              <w:rPr>
                <w:b/>
                <w:color w:val="auto"/>
                <w:sz w:val="24"/>
                <w:szCs w:val="24"/>
              </w:rPr>
              <w:t>November 5</w:t>
            </w:r>
          </w:p>
        </w:tc>
        <w:tc>
          <w:tcPr>
            <w:tcW w:w="6408" w:type="dxa"/>
            <w:vAlign w:val="center"/>
          </w:tcPr>
          <w:p w:rsidR="00F82897" w:rsidRPr="00F82897" w:rsidRDefault="00F82897" w:rsidP="00F82897">
            <w:pPr>
              <w:pStyle w:val="Heading2"/>
              <w:outlineLvl w:val="1"/>
              <w:rPr>
                <w:b/>
                <w:color w:val="auto"/>
                <w:sz w:val="24"/>
                <w:szCs w:val="24"/>
              </w:rPr>
            </w:pPr>
            <w:r w:rsidRPr="00F82897">
              <w:rPr>
                <w:b/>
                <w:color w:val="auto"/>
                <w:sz w:val="24"/>
                <w:szCs w:val="24"/>
              </w:rPr>
              <w:t>Second Draft (if needed)</w:t>
            </w:r>
          </w:p>
        </w:tc>
      </w:tr>
      <w:tr w:rsidR="00F82897" w:rsidRPr="00F82897" w:rsidTr="00224A5A">
        <w:trPr>
          <w:trHeight w:val="432"/>
          <w:jc w:val="center"/>
        </w:trPr>
        <w:tc>
          <w:tcPr>
            <w:tcW w:w="2012" w:type="dxa"/>
            <w:vAlign w:val="center"/>
          </w:tcPr>
          <w:p w:rsidR="00F82897" w:rsidRPr="00F82897" w:rsidRDefault="00F82897" w:rsidP="00F82897">
            <w:pPr>
              <w:pStyle w:val="Heading2"/>
              <w:outlineLvl w:val="1"/>
              <w:rPr>
                <w:b/>
                <w:color w:val="auto"/>
                <w:sz w:val="24"/>
                <w:szCs w:val="24"/>
              </w:rPr>
            </w:pPr>
            <w:r w:rsidRPr="00F82897">
              <w:rPr>
                <w:b/>
                <w:color w:val="auto"/>
                <w:sz w:val="24"/>
                <w:szCs w:val="24"/>
              </w:rPr>
              <w:t>November 26</w:t>
            </w:r>
          </w:p>
        </w:tc>
        <w:tc>
          <w:tcPr>
            <w:tcW w:w="6408" w:type="dxa"/>
            <w:vAlign w:val="center"/>
          </w:tcPr>
          <w:p w:rsidR="00F82897" w:rsidRPr="00F82897" w:rsidRDefault="00F82897" w:rsidP="00F82897">
            <w:pPr>
              <w:pStyle w:val="Heading2"/>
              <w:outlineLvl w:val="1"/>
              <w:rPr>
                <w:b/>
                <w:color w:val="auto"/>
                <w:sz w:val="24"/>
                <w:szCs w:val="24"/>
              </w:rPr>
            </w:pPr>
            <w:r w:rsidRPr="00F82897">
              <w:rPr>
                <w:b/>
                <w:color w:val="auto"/>
                <w:sz w:val="24"/>
                <w:szCs w:val="24"/>
              </w:rPr>
              <w:t>Third Draft (if needed) or Final Paper</w:t>
            </w:r>
          </w:p>
        </w:tc>
      </w:tr>
      <w:tr w:rsidR="00F82897" w:rsidRPr="00F82897" w:rsidTr="00224A5A">
        <w:trPr>
          <w:trHeight w:val="432"/>
          <w:jc w:val="center"/>
        </w:trPr>
        <w:tc>
          <w:tcPr>
            <w:tcW w:w="2012" w:type="dxa"/>
            <w:vAlign w:val="center"/>
          </w:tcPr>
          <w:p w:rsidR="00F82897" w:rsidRPr="00F82897" w:rsidRDefault="00F82897" w:rsidP="00F82897">
            <w:pPr>
              <w:pStyle w:val="Heading2"/>
              <w:outlineLvl w:val="1"/>
              <w:rPr>
                <w:b/>
                <w:color w:val="auto"/>
                <w:sz w:val="24"/>
                <w:szCs w:val="24"/>
              </w:rPr>
            </w:pPr>
            <w:r w:rsidRPr="00F82897">
              <w:rPr>
                <w:b/>
                <w:color w:val="auto"/>
                <w:sz w:val="24"/>
                <w:szCs w:val="24"/>
              </w:rPr>
              <w:t>December 3</w:t>
            </w:r>
          </w:p>
        </w:tc>
        <w:tc>
          <w:tcPr>
            <w:tcW w:w="6408" w:type="dxa"/>
            <w:vAlign w:val="center"/>
          </w:tcPr>
          <w:p w:rsidR="00F82897" w:rsidRPr="00F82897" w:rsidRDefault="00F82897" w:rsidP="00F82897">
            <w:pPr>
              <w:pStyle w:val="Heading2"/>
              <w:outlineLvl w:val="1"/>
              <w:rPr>
                <w:b/>
                <w:color w:val="auto"/>
                <w:sz w:val="24"/>
                <w:szCs w:val="24"/>
              </w:rPr>
            </w:pPr>
            <w:r w:rsidRPr="00F82897">
              <w:rPr>
                <w:b/>
                <w:color w:val="auto"/>
                <w:sz w:val="24"/>
                <w:szCs w:val="24"/>
              </w:rPr>
              <w:t>Personal Reflection</w:t>
            </w:r>
          </w:p>
        </w:tc>
      </w:tr>
    </w:tbl>
    <w:p w:rsidR="00F82897" w:rsidRPr="00F82897" w:rsidRDefault="00F82897" w:rsidP="00F82897">
      <w:pPr>
        <w:jc w:val="center"/>
        <w:rPr>
          <w:rFonts w:ascii="Arial" w:hAnsi="Arial" w:cs="Arial"/>
        </w:rPr>
      </w:pPr>
      <w:r w:rsidRPr="00F82897">
        <w:rPr>
          <w:rFonts w:ascii="Arial" w:hAnsi="Arial" w:cs="Arial"/>
          <w:b/>
          <w:u w:val="single"/>
        </w:rPr>
        <w:t>Note</w:t>
      </w:r>
      <w:r w:rsidRPr="00F82897">
        <w:rPr>
          <w:rFonts w:ascii="Arial" w:hAnsi="Arial" w:cs="Arial"/>
        </w:rPr>
        <w:t>: Assignments are due by 11:59pm CST unless otherwise indicated.</w:t>
      </w:r>
    </w:p>
    <w:p w:rsidR="00F82897" w:rsidRPr="00F82897" w:rsidRDefault="00F82897" w:rsidP="00F82897">
      <w:pPr>
        <w:pStyle w:val="Heading2"/>
        <w:rPr>
          <w:b/>
          <w:color w:val="C00000"/>
        </w:rPr>
      </w:pPr>
      <w:r w:rsidRPr="00F82897">
        <w:rPr>
          <w:b/>
          <w:color w:val="C00000"/>
        </w:rPr>
        <w:t>The last opportunity to drop this course with a grade of W is 4:00pm CST on October 29, 2018.</w:t>
      </w:r>
    </w:p>
    <w:p w:rsidR="00F82897" w:rsidRDefault="00F82897" w:rsidP="00F82897"/>
    <w:p w:rsidR="002F3964" w:rsidRDefault="00F82897" w:rsidP="002F3964">
      <w:pPr>
        <w:pStyle w:val="Heading2"/>
        <w:rPr>
          <w:b/>
          <w:color w:val="auto"/>
        </w:rPr>
      </w:pPr>
      <w:r w:rsidRPr="008109CB">
        <w:rPr>
          <w:b/>
          <w:color w:val="auto"/>
        </w:rPr>
        <w:t>ATTENDANCE</w:t>
      </w:r>
    </w:p>
    <w:p w:rsidR="002F3964" w:rsidRPr="002F3964" w:rsidRDefault="002F3964" w:rsidP="002F3964"/>
    <w:p w:rsidR="00F82897" w:rsidRPr="002F3964" w:rsidRDefault="00F82897" w:rsidP="002F3964">
      <w:pPr>
        <w:pStyle w:val="NoSpacing"/>
      </w:pPr>
      <w:r w:rsidRPr="002F3964">
        <w:t>This is an online course. Students should regularly access D2L and check their emails for important communications from the instructor.</w:t>
      </w:r>
    </w:p>
    <w:p w:rsidR="00F82897" w:rsidRPr="008109CB" w:rsidRDefault="00F82897" w:rsidP="00F82897">
      <w:pPr>
        <w:rPr>
          <w:rFonts w:ascii="Arial" w:hAnsi="Arial" w:cs="Arial"/>
        </w:rPr>
      </w:pPr>
    </w:p>
    <w:p w:rsidR="00F82897" w:rsidRPr="008109CB" w:rsidRDefault="00F82897" w:rsidP="008109CB">
      <w:pPr>
        <w:pStyle w:val="Heading2"/>
        <w:rPr>
          <w:rFonts w:ascii="Arial" w:hAnsi="Arial" w:cs="Arial"/>
          <w:color w:val="auto"/>
        </w:rPr>
      </w:pPr>
      <w:r w:rsidRPr="008109CB">
        <w:rPr>
          <w:rFonts w:ascii="Arial" w:hAnsi="Arial" w:cs="Arial"/>
          <w:color w:val="auto"/>
        </w:rPr>
        <w:t>GRADING SCALE</w:t>
      </w:r>
    </w:p>
    <w:p w:rsidR="00F82897" w:rsidRPr="008109CB" w:rsidRDefault="00F82897" w:rsidP="002F3964">
      <w:pPr>
        <w:rPr>
          <w:rFonts w:ascii="Arial" w:hAnsi="Arial" w:cs="Arial"/>
          <w:b/>
        </w:rPr>
      </w:pPr>
      <w:proofErr w:type="gramStart"/>
      <w:r w:rsidRPr="008109CB">
        <w:rPr>
          <w:rFonts w:ascii="Arial" w:hAnsi="Arial" w:cs="Arial"/>
        </w:rPr>
        <w:t>A</w:t>
      </w:r>
      <w:r w:rsidR="002F3964">
        <w:rPr>
          <w:rFonts w:ascii="Arial" w:hAnsi="Arial" w:cs="Arial"/>
        </w:rPr>
        <w:t xml:space="preserve">  </w:t>
      </w:r>
      <w:r w:rsidRPr="008109CB">
        <w:rPr>
          <w:rFonts w:ascii="Arial" w:hAnsi="Arial" w:cs="Arial"/>
        </w:rPr>
        <w:t>90</w:t>
      </w:r>
      <w:proofErr w:type="gramEnd"/>
      <w:r w:rsidRPr="008109CB">
        <w:rPr>
          <w:rFonts w:ascii="Arial" w:hAnsi="Arial" w:cs="Arial"/>
        </w:rPr>
        <w:t>-100</w:t>
      </w:r>
    </w:p>
    <w:p w:rsidR="00F82897" w:rsidRPr="008109CB" w:rsidRDefault="00F82897" w:rsidP="002F3964">
      <w:pPr>
        <w:rPr>
          <w:rFonts w:ascii="Arial" w:hAnsi="Arial" w:cs="Arial"/>
        </w:rPr>
      </w:pPr>
      <w:proofErr w:type="gramStart"/>
      <w:r w:rsidRPr="008109CB">
        <w:rPr>
          <w:rFonts w:ascii="Arial" w:hAnsi="Arial" w:cs="Arial"/>
        </w:rPr>
        <w:t>B</w:t>
      </w:r>
      <w:r w:rsidR="002F3964">
        <w:rPr>
          <w:rFonts w:ascii="Arial" w:hAnsi="Arial" w:cs="Arial"/>
        </w:rPr>
        <w:t xml:space="preserve">  </w:t>
      </w:r>
      <w:r w:rsidRPr="008109CB">
        <w:rPr>
          <w:rFonts w:ascii="Arial" w:hAnsi="Arial" w:cs="Arial"/>
        </w:rPr>
        <w:t>80</w:t>
      </w:r>
      <w:proofErr w:type="gramEnd"/>
      <w:r w:rsidRPr="008109CB">
        <w:rPr>
          <w:rFonts w:ascii="Arial" w:hAnsi="Arial" w:cs="Arial"/>
        </w:rPr>
        <w:t>-89</w:t>
      </w:r>
    </w:p>
    <w:p w:rsidR="00F82897" w:rsidRPr="008109CB" w:rsidRDefault="00F82897" w:rsidP="002F3964">
      <w:pPr>
        <w:rPr>
          <w:rFonts w:ascii="Arial" w:hAnsi="Arial" w:cs="Arial"/>
        </w:rPr>
      </w:pPr>
      <w:proofErr w:type="gramStart"/>
      <w:r w:rsidRPr="008109CB">
        <w:rPr>
          <w:rFonts w:ascii="Arial" w:hAnsi="Arial" w:cs="Arial"/>
        </w:rPr>
        <w:t>C</w:t>
      </w:r>
      <w:r w:rsidR="002F3964">
        <w:rPr>
          <w:rFonts w:ascii="Arial" w:hAnsi="Arial" w:cs="Arial"/>
        </w:rPr>
        <w:t xml:space="preserve">  </w:t>
      </w:r>
      <w:r w:rsidRPr="008109CB">
        <w:rPr>
          <w:rFonts w:ascii="Arial" w:hAnsi="Arial" w:cs="Arial"/>
        </w:rPr>
        <w:t>70</w:t>
      </w:r>
      <w:proofErr w:type="gramEnd"/>
      <w:r w:rsidRPr="008109CB">
        <w:rPr>
          <w:rFonts w:ascii="Arial" w:hAnsi="Arial" w:cs="Arial"/>
        </w:rPr>
        <w:t>-79</w:t>
      </w:r>
    </w:p>
    <w:p w:rsidR="00F82897" w:rsidRPr="008109CB" w:rsidRDefault="00F82897" w:rsidP="002F3964">
      <w:pPr>
        <w:rPr>
          <w:rFonts w:ascii="Arial" w:hAnsi="Arial" w:cs="Arial"/>
        </w:rPr>
      </w:pPr>
      <w:proofErr w:type="gramStart"/>
      <w:r w:rsidRPr="008109CB">
        <w:rPr>
          <w:rFonts w:ascii="Arial" w:hAnsi="Arial" w:cs="Arial"/>
        </w:rPr>
        <w:t>D</w:t>
      </w:r>
      <w:r w:rsidR="002F3964">
        <w:rPr>
          <w:rFonts w:ascii="Arial" w:hAnsi="Arial" w:cs="Arial"/>
        </w:rPr>
        <w:t xml:space="preserve">  </w:t>
      </w:r>
      <w:r w:rsidRPr="008109CB">
        <w:rPr>
          <w:rFonts w:ascii="Arial" w:hAnsi="Arial" w:cs="Arial"/>
        </w:rPr>
        <w:t>60</w:t>
      </w:r>
      <w:proofErr w:type="gramEnd"/>
      <w:r w:rsidRPr="008109CB">
        <w:rPr>
          <w:rFonts w:ascii="Arial" w:hAnsi="Arial" w:cs="Arial"/>
        </w:rPr>
        <w:t>-69</w:t>
      </w:r>
    </w:p>
    <w:p w:rsidR="00F82897" w:rsidRPr="008109CB" w:rsidRDefault="00F82897" w:rsidP="002F3964">
      <w:pPr>
        <w:rPr>
          <w:rFonts w:ascii="Arial" w:hAnsi="Arial" w:cs="Arial"/>
        </w:rPr>
      </w:pPr>
      <w:proofErr w:type="gramStart"/>
      <w:r w:rsidRPr="008109CB">
        <w:rPr>
          <w:rFonts w:ascii="Arial" w:hAnsi="Arial" w:cs="Arial"/>
        </w:rPr>
        <w:t>F</w:t>
      </w:r>
      <w:r w:rsidR="002F3964">
        <w:rPr>
          <w:rFonts w:ascii="Arial" w:hAnsi="Arial" w:cs="Arial"/>
        </w:rPr>
        <w:t xml:space="preserve">  </w:t>
      </w:r>
      <w:r w:rsidRPr="008109CB">
        <w:rPr>
          <w:rFonts w:ascii="Arial" w:hAnsi="Arial" w:cs="Arial"/>
        </w:rPr>
        <w:t>59</w:t>
      </w:r>
      <w:proofErr w:type="gramEnd"/>
      <w:r w:rsidRPr="008109CB">
        <w:rPr>
          <w:rFonts w:ascii="Arial" w:hAnsi="Arial" w:cs="Arial"/>
        </w:rPr>
        <w:t xml:space="preserve"> and below</w:t>
      </w:r>
    </w:p>
    <w:p w:rsidR="00F82897" w:rsidRPr="008109CB" w:rsidRDefault="00F82897" w:rsidP="00F82897">
      <w:pPr>
        <w:rPr>
          <w:rFonts w:ascii="Arial" w:hAnsi="Arial" w:cs="Arial"/>
        </w:rPr>
      </w:pPr>
    </w:p>
    <w:p w:rsidR="00F82897" w:rsidRPr="008109CB" w:rsidRDefault="00F82897" w:rsidP="00F82897">
      <w:pPr>
        <w:rPr>
          <w:rFonts w:ascii="Arial" w:hAnsi="Arial" w:cs="Arial"/>
        </w:rPr>
      </w:pPr>
      <w:r w:rsidRPr="008109CB">
        <w:rPr>
          <w:rFonts w:ascii="Arial" w:hAnsi="Arial" w:cs="Arial"/>
        </w:rPr>
        <w:t xml:space="preserve">Deadlines for submission of assignments are provided in this syllabus. Failure to comply with the established deadlines may result in a grade reduction. </w:t>
      </w:r>
      <w:r w:rsidRPr="008109CB">
        <w:rPr>
          <w:rFonts w:ascii="Arial" w:hAnsi="Arial" w:cs="Arial"/>
          <w:b/>
          <w:i/>
        </w:rPr>
        <w:t>Assignment submissions are considered complete and graded as such</w:t>
      </w:r>
      <w:r w:rsidRPr="008109CB">
        <w:rPr>
          <w:rFonts w:ascii="Arial" w:hAnsi="Arial" w:cs="Arial"/>
        </w:rPr>
        <w:t>. Be sure to look at all requirements including the grading rubrics before submitting course assignments within D2L.</w:t>
      </w:r>
    </w:p>
    <w:p w:rsidR="00F82897" w:rsidRPr="008109CB" w:rsidRDefault="00F82897" w:rsidP="00F82897">
      <w:pPr>
        <w:rPr>
          <w:rFonts w:ascii="Arial" w:hAnsi="Arial" w:cs="Arial"/>
        </w:rPr>
      </w:pPr>
    </w:p>
    <w:p w:rsidR="002F3964" w:rsidRDefault="00F82897" w:rsidP="002F3964">
      <w:pPr>
        <w:pStyle w:val="Heading2"/>
        <w:rPr>
          <w:rFonts w:ascii="Arial" w:hAnsi="Arial" w:cs="Arial"/>
        </w:rPr>
      </w:pPr>
      <w:r w:rsidRPr="008109CB">
        <w:rPr>
          <w:rFonts w:ascii="Arial" w:hAnsi="Arial" w:cs="Arial"/>
          <w:b/>
          <w:color w:val="auto"/>
        </w:rPr>
        <w:t>PROGRESSION POLICY</w:t>
      </w:r>
      <w:r w:rsidRPr="008109CB">
        <w:rPr>
          <w:rFonts w:ascii="Arial" w:hAnsi="Arial" w:cs="Arial"/>
        </w:rPr>
        <w:t xml:space="preserve"> </w:t>
      </w:r>
    </w:p>
    <w:p w:rsidR="00F82897" w:rsidRPr="008109CB" w:rsidRDefault="00F82897" w:rsidP="00F82897">
      <w:pPr>
        <w:rPr>
          <w:rFonts w:ascii="Arial" w:hAnsi="Arial" w:cs="Arial"/>
        </w:rPr>
      </w:pPr>
      <w:r w:rsidRPr="008109CB">
        <w:rPr>
          <w:rFonts w:ascii="Arial" w:hAnsi="Arial" w:cs="Arial"/>
        </w:rPr>
        <w:t>Graduate students are expected to do uniformly high quality work on all MSRS coursework pursued (final course grades of A or B). Only grades of A or B are acceptable for graduate courses transferred from another university.</w:t>
      </w:r>
    </w:p>
    <w:p w:rsidR="002F3964" w:rsidRDefault="002F3964" w:rsidP="00F82897">
      <w:pPr>
        <w:rPr>
          <w:rFonts w:ascii="Arial" w:hAnsi="Arial" w:cs="Arial"/>
        </w:rPr>
      </w:pPr>
    </w:p>
    <w:p w:rsidR="00F82897" w:rsidRPr="008109CB" w:rsidRDefault="00F82897" w:rsidP="00F82897">
      <w:pPr>
        <w:rPr>
          <w:rFonts w:ascii="Arial" w:hAnsi="Arial" w:cs="Arial"/>
        </w:rPr>
      </w:pPr>
      <w:r w:rsidRPr="008109CB">
        <w:rPr>
          <w:rFonts w:ascii="Arial" w:hAnsi="Arial" w:cs="Arial"/>
        </w:rPr>
        <w:t xml:space="preserve">Graduate students may earn a grade of C in one or two graduate courses and be allowed to continue in the MSRS program as long as their cumulative GPA is 3.0 or higher. If a graduate student earns a grade of C in three or more graduate courses, the </w:t>
      </w:r>
      <w:r w:rsidRPr="008109CB">
        <w:rPr>
          <w:rFonts w:ascii="Arial" w:hAnsi="Arial" w:cs="Arial"/>
        </w:rPr>
        <w:lastRenderedPageBreak/>
        <w:t>student will be dismissed from the MSRS program. Any grade below a C will also result in dismissal from the MSRS program.</w:t>
      </w:r>
    </w:p>
    <w:p w:rsidR="00F82897" w:rsidRPr="008109CB" w:rsidRDefault="00F82897" w:rsidP="00F82897">
      <w:pPr>
        <w:rPr>
          <w:rFonts w:ascii="Arial" w:hAnsi="Arial" w:cs="Arial"/>
          <w:b/>
        </w:rPr>
      </w:pPr>
    </w:p>
    <w:p w:rsidR="00F82897" w:rsidRPr="008109CB" w:rsidRDefault="00F82897" w:rsidP="008109CB">
      <w:pPr>
        <w:pStyle w:val="Heading2"/>
        <w:rPr>
          <w:rFonts w:ascii="Arial" w:hAnsi="Arial" w:cs="Arial"/>
          <w:b/>
          <w:color w:val="auto"/>
        </w:rPr>
      </w:pPr>
      <w:r w:rsidRPr="008109CB">
        <w:rPr>
          <w:rFonts w:ascii="Arial" w:hAnsi="Arial" w:cs="Arial"/>
          <w:b/>
          <w:color w:val="auto"/>
        </w:rPr>
        <w:t>ASSIGNMENTS</w:t>
      </w:r>
    </w:p>
    <w:p w:rsidR="00F82897" w:rsidRPr="008109CB" w:rsidRDefault="00F82897" w:rsidP="00F82897">
      <w:pPr>
        <w:rPr>
          <w:rFonts w:ascii="Arial" w:hAnsi="Arial" w:cs="Arial"/>
          <w:u w:val="single"/>
        </w:rPr>
      </w:pPr>
    </w:p>
    <w:p w:rsidR="002F3964" w:rsidRDefault="00F82897" w:rsidP="002F3964">
      <w:pPr>
        <w:pStyle w:val="Heading2"/>
        <w:rPr>
          <w:rFonts w:ascii="Arial" w:hAnsi="Arial" w:cs="Arial"/>
          <w:color w:val="auto"/>
        </w:rPr>
      </w:pPr>
      <w:r w:rsidRPr="008109CB">
        <w:rPr>
          <w:rFonts w:ascii="Arial" w:hAnsi="Arial" w:cs="Arial"/>
          <w:color w:val="auto"/>
        </w:rPr>
        <w:t>Topic Approval</w:t>
      </w:r>
    </w:p>
    <w:p w:rsidR="002F3964" w:rsidRPr="002F3964" w:rsidRDefault="002F3964" w:rsidP="002F3964"/>
    <w:p w:rsidR="002F3964" w:rsidRDefault="00F82897" w:rsidP="002F3964">
      <w:pPr>
        <w:pStyle w:val="NoSpacing"/>
      </w:pPr>
      <w:r w:rsidRPr="002F3964">
        <w:t>Students must obtain instructor approval for their RADS 6773 research paper topics. The research paper topics will be based on the foundations established in RADS 5003, Research Methods I. Appropriate topics include those directly related to IMAGING SCIENCES or RADIATION THERAPY issues or strategies and must be relevant to the students’ major.</w:t>
      </w:r>
    </w:p>
    <w:p w:rsidR="00F82897" w:rsidRPr="008109CB" w:rsidRDefault="002F3964" w:rsidP="002F3964">
      <w:pPr>
        <w:pStyle w:val="Heading2"/>
        <w:rPr>
          <w:rFonts w:ascii="Arial" w:hAnsi="Arial" w:cs="Arial"/>
        </w:rPr>
      </w:pPr>
      <w:r w:rsidRPr="008109CB">
        <w:rPr>
          <w:rFonts w:ascii="Arial" w:hAnsi="Arial" w:cs="Arial"/>
        </w:rPr>
        <w:t xml:space="preserve"> </w:t>
      </w:r>
    </w:p>
    <w:p w:rsidR="008109CB" w:rsidRPr="008109CB" w:rsidRDefault="00F82897" w:rsidP="00F82897">
      <w:pPr>
        <w:rPr>
          <w:rFonts w:ascii="Arial" w:hAnsi="Arial" w:cs="Arial"/>
          <w:color w:val="FF0000"/>
        </w:rPr>
      </w:pPr>
      <w:r w:rsidRPr="008109CB">
        <w:rPr>
          <w:rFonts w:ascii="Arial" w:hAnsi="Arial" w:cs="Arial"/>
          <w:color w:val="FF0000"/>
        </w:rPr>
        <w:t>NOTE:  If the instructor and student determine the research paper should include a survey or any other research design that requires approval or exemption by the MSU Institutional Review Board (IRB), the student should expect the process will require more than one semester. Due dates may be adjusted accordingly.</w:t>
      </w:r>
      <w:r w:rsidR="002F3964" w:rsidRPr="008109CB">
        <w:rPr>
          <w:rFonts w:ascii="Arial" w:hAnsi="Arial" w:cs="Arial"/>
          <w:color w:val="FF0000"/>
        </w:rPr>
        <w:t xml:space="preserve"> </w:t>
      </w:r>
    </w:p>
    <w:p w:rsidR="002F3964" w:rsidRDefault="00F82897" w:rsidP="002F3964">
      <w:pPr>
        <w:pStyle w:val="Heading2"/>
        <w:rPr>
          <w:b/>
          <w:color w:val="auto"/>
        </w:rPr>
      </w:pPr>
      <w:r w:rsidRPr="008109CB">
        <w:rPr>
          <w:b/>
          <w:color w:val="auto"/>
        </w:rPr>
        <w:t>Synthesis Matrix</w:t>
      </w:r>
    </w:p>
    <w:p w:rsidR="002F3964" w:rsidRDefault="002F3964" w:rsidP="002F3964">
      <w:pPr>
        <w:pStyle w:val="Heading2"/>
        <w:rPr>
          <w:rFonts w:ascii="Arial" w:hAnsi="Arial" w:cs="Arial"/>
          <w:color w:val="auto"/>
          <w:sz w:val="24"/>
          <w:szCs w:val="24"/>
        </w:rPr>
      </w:pPr>
    </w:p>
    <w:p w:rsidR="00F82897" w:rsidRPr="002F3964" w:rsidRDefault="00F82897" w:rsidP="002F3964">
      <w:pPr>
        <w:pStyle w:val="NoSpacing"/>
      </w:pPr>
      <w:r w:rsidRPr="002F3964">
        <w:t>After a comprehensive review of the resources, students will create a synthesis matrix by the due date indicated on the course schedule. The matrix should include in-text style citations of the sources next to each article block in the matrix. Although the final paper may deviate from the matrix somewhat, it should reflect the organization of this matrix content. Therefore, students must be very familiar with their resources to create an accurate and realistic matrix. A sample of a matrix and corresponding discussion section are located in this syllabus.</w:t>
      </w:r>
    </w:p>
    <w:p w:rsidR="00F82897" w:rsidRPr="008109CB" w:rsidRDefault="00F82897" w:rsidP="00F82897">
      <w:pPr>
        <w:rPr>
          <w:rFonts w:ascii="Arial" w:hAnsi="Arial" w:cs="Arial"/>
        </w:rPr>
      </w:pPr>
    </w:p>
    <w:p w:rsidR="00F82897" w:rsidRPr="008109CB" w:rsidRDefault="00F82897" w:rsidP="008109CB">
      <w:pPr>
        <w:pStyle w:val="Heading2"/>
        <w:rPr>
          <w:b/>
          <w:color w:val="auto"/>
        </w:rPr>
      </w:pPr>
      <w:r w:rsidRPr="008109CB">
        <w:rPr>
          <w:b/>
          <w:color w:val="auto"/>
        </w:rPr>
        <w:t>Scholarly Research Paper (Literature Review)</w:t>
      </w:r>
    </w:p>
    <w:p w:rsidR="002F3964" w:rsidRDefault="002F3964" w:rsidP="00F82897">
      <w:pPr>
        <w:rPr>
          <w:rFonts w:ascii="Arial" w:hAnsi="Arial" w:cs="Arial"/>
        </w:rPr>
      </w:pPr>
    </w:p>
    <w:p w:rsidR="002F3964" w:rsidRDefault="00F82897" w:rsidP="002F3964">
      <w:pPr>
        <w:rPr>
          <w:rFonts w:ascii="Arial" w:hAnsi="Arial" w:cs="Arial"/>
        </w:rPr>
      </w:pPr>
      <w:r w:rsidRPr="008109CB">
        <w:rPr>
          <w:rFonts w:ascii="Arial" w:hAnsi="Arial" w:cs="Arial"/>
        </w:rPr>
        <w:t xml:space="preserve">The scholarly paper will demonstrate the student’s critical analysis of published research and graduate level writing skills using appropriate APA format. The paper should be long enough to provide thorough coverage of the topic, but should be appropriately concise to conform </w:t>
      </w:r>
      <w:proofErr w:type="gramStart"/>
      <w:r w:rsidRPr="008109CB">
        <w:rPr>
          <w:rFonts w:ascii="Arial" w:hAnsi="Arial" w:cs="Arial"/>
        </w:rPr>
        <w:t>with</w:t>
      </w:r>
      <w:proofErr w:type="gramEnd"/>
      <w:r w:rsidRPr="008109CB">
        <w:rPr>
          <w:rFonts w:ascii="Arial" w:hAnsi="Arial" w:cs="Arial"/>
        </w:rPr>
        <w:t xml:space="preserve"> professional standards. </w:t>
      </w:r>
      <w:r w:rsidRPr="008109CB">
        <w:rPr>
          <w:rFonts w:ascii="Arial" w:hAnsi="Arial" w:cs="Arial"/>
          <w:b/>
        </w:rPr>
        <w:t xml:space="preserve">Typically, the body of the paper (excluding components such as the title page, abstract, reference list, appendices, etc.) will </w:t>
      </w:r>
      <w:proofErr w:type="gramStart"/>
      <w:r w:rsidRPr="008109CB">
        <w:rPr>
          <w:rFonts w:ascii="Arial" w:hAnsi="Arial" w:cs="Arial"/>
          <w:b/>
        </w:rPr>
        <w:t>be  20</w:t>
      </w:r>
      <w:proofErr w:type="gramEnd"/>
      <w:r w:rsidRPr="008109CB">
        <w:rPr>
          <w:rFonts w:ascii="Arial" w:hAnsi="Arial" w:cs="Arial"/>
          <w:b/>
        </w:rPr>
        <w:t xml:space="preserve"> - 30 pages</w:t>
      </w:r>
      <w:r w:rsidRPr="008109CB">
        <w:rPr>
          <w:rFonts w:ascii="Arial" w:hAnsi="Arial" w:cs="Arial"/>
        </w:rPr>
        <w:t>.</w:t>
      </w:r>
    </w:p>
    <w:p w:rsidR="002F3964" w:rsidRDefault="00F82897" w:rsidP="002F3964">
      <w:pPr>
        <w:rPr>
          <w:rFonts w:ascii="Arial" w:hAnsi="Arial" w:cs="Arial"/>
        </w:rPr>
      </w:pPr>
      <w:r w:rsidRPr="008109CB">
        <w:rPr>
          <w:rFonts w:ascii="Arial" w:hAnsi="Arial" w:cs="Arial"/>
        </w:rPr>
        <w:t xml:space="preserve"> </w:t>
      </w:r>
    </w:p>
    <w:p w:rsidR="00F82897" w:rsidRDefault="00F82897" w:rsidP="00F82897">
      <w:pPr>
        <w:rPr>
          <w:rFonts w:ascii="Arial" w:hAnsi="Arial" w:cs="Arial"/>
        </w:rPr>
      </w:pPr>
      <w:r w:rsidRPr="008109CB">
        <w:rPr>
          <w:rFonts w:ascii="Arial" w:hAnsi="Arial" w:cs="Arial"/>
        </w:rPr>
        <w:t xml:space="preserve">The literature review should be based on scholarly and peer-reviewed resources published within the past five (5) years. </w:t>
      </w:r>
      <w:r w:rsidRPr="008109CB">
        <w:rPr>
          <w:rFonts w:ascii="Arial" w:hAnsi="Arial" w:cs="Arial"/>
          <w:b/>
          <w:i/>
        </w:rPr>
        <w:t>Students who choose to include other resources will have to satisfactorily defend those choices.</w:t>
      </w:r>
      <w:r w:rsidRPr="008109CB">
        <w:rPr>
          <w:rFonts w:ascii="Arial" w:hAnsi="Arial" w:cs="Arial"/>
        </w:rPr>
        <w:t xml:space="preserve"> The paper should demonstrate the student's ability to gather and discriminate pertinent resources, the ability to </w:t>
      </w:r>
      <w:r w:rsidRPr="008109CB">
        <w:rPr>
          <w:rFonts w:ascii="Arial" w:hAnsi="Arial" w:cs="Arial"/>
          <w:color w:val="FF0000"/>
        </w:rPr>
        <w:t>SYNTHESIZE</w:t>
      </w:r>
      <w:r w:rsidRPr="008109CB">
        <w:rPr>
          <w:rFonts w:ascii="Arial" w:hAnsi="Arial" w:cs="Arial"/>
        </w:rPr>
        <w:t xml:space="preserve"> information from a variety of sources, the ability to apply new information to a topic, and the ability to correctly use the APA writing style. </w:t>
      </w:r>
    </w:p>
    <w:p w:rsidR="008109CB" w:rsidRDefault="008109CB" w:rsidP="008109CB">
      <w:pPr>
        <w:rPr>
          <w:rFonts w:ascii="Arial" w:hAnsi="Arial" w:cs="Arial"/>
          <w:u w:val="single"/>
        </w:rPr>
      </w:pPr>
    </w:p>
    <w:p w:rsidR="002F3964" w:rsidRDefault="008109CB" w:rsidP="002F3964">
      <w:pPr>
        <w:pStyle w:val="Heading2"/>
        <w:rPr>
          <w:b/>
          <w:color w:val="auto"/>
        </w:rPr>
      </w:pPr>
      <w:r w:rsidRPr="008109CB">
        <w:rPr>
          <w:b/>
          <w:color w:val="auto"/>
        </w:rPr>
        <w:t>Personal Reflection</w:t>
      </w:r>
    </w:p>
    <w:p w:rsidR="002F3964" w:rsidRDefault="002F3964" w:rsidP="008109CB"/>
    <w:p w:rsidR="002F3964" w:rsidRDefault="008109CB" w:rsidP="008109CB">
      <w:pPr>
        <w:rPr>
          <w:rFonts w:ascii="Arial" w:hAnsi="Arial" w:cs="Arial"/>
        </w:rPr>
      </w:pPr>
      <w:r w:rsidRPr="008109CB">
        <w:rPr>
          <w:rFonts w:ascii="Arial" w:hAnsi="Arial" w:cs="Arial"/>
        </w:rPr>
        <w:lastRenderedPageBreak/>
        <w:t>Students will submit a personal reflection of the research process they experienced in the sequence of MSRS courses:</w:t>
      </w:r>
    </w:p>
    <w:p w:rsidR="008109CB" w:rsidRPr="008109CB" w:rsidRDefault="008109CB" w:rsidP="008109CB">
      <w:pPr>
        <w:rPr>
          <w:rFonts w:ascii="Arial" w:hAnsi="Arial" w:cs="Arial"/>
        </w:rPr>
      </w:pPr>
      <w:r w:rsidRPr="008109CB">
        <w:rPr>
          <w:rFonts w:ascii="Arial" w:hAnsi="Arial" w:cs="Arial"/>
        </w:rPr>
        <w:t xml:space="preserve">RADS 6443 Survey Design in Radiologic Sciences </w:t>
      </w:r>
    </w:p>
    <w:p w:rsidR="008109CB" w:rsidRPr="008109CB" w:rsidRDefault="008109CB" w:rsidP="008109CB">
      <w:pPr>
        <w:rPr>
          <w:rFonts w:ascii="Arial" w:hAnsi="Arial" w:cs="Arial"/>
        </w:rPr>
      </w:pPr>
      <w:r w:rsidRPr="008109CB">
        <w:rPr>
          <w:rFonts w:ascii="Arial" w:hAnsi="Arial" w:cs="Arial"/>
        </w:rPr>
        <w:t>RADS 6553 Graduate Data Analysis in Radiologic Sciences</w:t>
      </w:r>
    </w:p>
    <w:p w:rsidR="008109CB" w:rsidRPr="008109CB" w:rsidRDefault="008109CB" w:rsidP="008109CB">
      <w:pPr>
        <w:rPr>
          <w:rFonts w:ascii="Arial" w:hAnsi="Arial" w:cs="Arial"/>
        </w:rPr>
      </w:pPr>
      <w:r w:rsidRPr="008109CB">
        <w:rPr>
          <w:rFonts w:ascii="Arial" w:hAnsi="Arial" w:cs="Arial"/>
        </w:rPr>
        <w:t>RADS 5003 Research Methods I</w:t>
      </w:r>
    </w:p>
    <w:p w:rsidR="008109CB" w:rsidRPr="008109CB" w:rsidRDefault="008109CB" w:rsidP="008109CB">
      <w:pPr>
        <w:rPr>
          <w:rFonts w:ascii="Arial" w:hAnsi="Arial" w:cs="Arial"/>
        </w:rPr>
      </w:pPr>
      <w:r w:rsidRPr="008109CB">
        <w:rPr>
          <w:rFonts w:ascii="Arial" w:hAnsi="Arial" w:cs="Arial"/>
        </w:rPr>
        <w:t>RADS 6773 Research Methods II</w:t>
      </w:r>
    </w:p>
    <w:p w:rsidR="008109CB" w:rsidRDefault="008109CB" w:rsidP="008109CB">
      <w:pPr>
        <w:rPr>
          <w:rFonts w:ascii="Arial" w:hAnsi="Arial" w:cs="Arial"/>
        </w:rPr>
      </w:pPr>
    </w:p>
    <w:p w:rsidR="008109CB" w:rsidRPr="008109CB" w:rsidRDefault="008109CB" w:rsidP="008109CB">
      <w:pPr>
        <w:rPr>
          <w:rFonts w:ascii="Arial" w:hAnsi="Arial" w:cs="Arial"/>
        </w:rPr>
      </w:pPr>
      <w:r w:rsidRPr="008109CB">
        <w:rPr>
          <w:rFonts w:ascii="Arial" w:hAnsi="Arial" w:cs="Arial"/>
        </w:rPr>
        <w:t>The reflections should include clearly labeled sections to address each of the following points:</w:t>
      </w:r>
    </w:p>
    <w:p w:rsidR="008109CB" w:rsidRPr="008109CB" w:rsidRDefault="008109CB" w:rsidP="008109CB">
      <w:pPr>
        <w:pStyle w:val="ListParagraph"/>
        <w:numPr>
          <w:ilvl w:val="0"/>
          <w:numId w:val="4"/>
        </w:numPr>
        <w:rPr>
          <w:rFonts w:ascii="Arial" w:hAnsi="Arial" w:cs="Arial"/>
        </w:rPr>
      </w:pPr>
      <w:r w:rsidRPr="008109CB">
        <w:rPr>
          <w:rFonts w:ascii="Arial" w:hAnsi="Arial" w:cs="Arial"/>
        </w:rPr>
        <w:t>Understanding - How has your understanding of the research process changed as a result of being in the MSRS Program?</w:t>
      </w:r>
    </w:p>
    <w:p w:rsidR="008109CB" w:rsidRPr="008109CB" w:rsidRDefault="008109CB" w:rsidP="008109CB">
      <w:pPr>
        <w:pStyle w:val="ListParagraph"/>
        <w:numPr>
          <w:ilvl w:val="0"/>
          <w:numId w:val="4"/>
        </w:numPr>
        <w:rPr>
          <w:rFonts w:ascii="Arial" w:hAnsi="Arial" w:cs="Arial"/>
        </w:rPr>
      </w:pPr>
      <w:r w:rsidRPr="008109CB">
        <w:rPr>
          <w:rFonts w:ascii="Arial" w:hAnsi="Arial" w:cs="Arial"/>
        </w:rPr>
        <w:t>Challenge - What was the most challenging aspect of the research process for you? What suggestions do you have for future students to manage this challenge?</w:t>
      </w:r>
    </w:p>
    <w:p w:rsidR="008109CB" w:rsidRPr="008109CB" w:rsidRDefault="008109CB" w:rsidP="008109CB">
      <w:pPr>
        <w:pStyle w:val="ListParagraph"/>
        <w:numPr>
          <w:ilvl w:val="0"/>
          <w:numId w:val="4"/>
        </w:numPr>
        <w:rPr>
          <w:rFonts w:ascii="Arial" w:hAnsi="Arial" w:cs="Arial"/>
        </w:rPr>
      </w:pPr>
      <w:r w:rsidRPr="008109CB">
        <w:rPr>
          <w:rFonts w:ascii="Arial" w:hAnsi="Arial" w:cs="Arial"/>
        </w:rPr>
        <w:t>Reward - What was the most rewarding aspect of the research process for you?</w:t>
      </w:r>
    </w:p>
    <w:p w:rsidR="008109CB" w:rsidRPr="008109CB" w:rsidRDefault="008109CB" w:rsidP="008109CB">
      <w:pPr>
        <w:pStyle w:val="ListParagraph"/>
        <w:numPr>
          <w:ilvl w:val="0"/>
          <w:numId w:val="4"/>
        </w:numPr>
        <w:rPr>
          <w:rFonts w:ascii="Arial" w:hAnsi="Arial" w:cs="Arial"/>
        </w:rPr>
      </w:pPr>
      <w:r w:rsidRPr="008109CB">
        <w:rPr>
          <w:rFonts w:ascii="Arial" w:hAnsi="Arial" w:cs="Arial"/>
        </w:rPr>
        <w:t>Self-Awareness - What did you learn about yourself while completing the research and producing this scholarly paper?</w:t>
      </w:r>
    </w:p>
    <w:p w:rsidR="008109CB" w:rsidRPr="008109CB" w:rsidRDefault="008109CB" w:rsidP="008109CB">
      <w:pPr>
        <w:pStyle w:val="ListParagraph"/>
        <w:numPr>
          <w:ilvl w:val="0"/>
          <w:numId w:val="4"/>
        </w:numPr>
        <w:rPr>
          <w:rFonts w:ascii="Arial" w:hAnsi="Arial" w:cs="Arial"/>
        </w:rPr>
      </w:pPr>
      <w:r w:rsidRPr="008109CB">
        <w:rPr>
          <w:rFonts w:ascii="Arial" w:hAnsi="Arial" w:cs="Arial"/>
        </w:rPr>
        <w:t>Publication Potential - Do you have plans to submit either this or another manuscript for publication in the future? Why or why not?</w:t>
      </w:r>
    </w:p>
    <w:p w:rsidR="008109CB" w:rsidRPr="008109CB" w:rsidRDefault="008109CB" w:rsidP="008109CB">
      <w:pPr>
        <w:pStyle w:val="ListParagraph"/>
        <w:numPr>
          <w:ilvl w:val="0"/>
          <w:numId w:val="4"/>
        </w:numPr>
        <w:rPr>
          <w:rFonts w:ascii="Arial" w:hAnsi="Arial" w:cs="Arial"/>
        </w:rPr>
      </w:pPr>
      <w:r w:rsidRPr="008109CB">
        <w:rPr>
          <w:rFonts w:ascii="Arial" w:hAnsi="Arial" w:cs="Arial"/>
        </w:rPr>
        <w:t>Professionalism - How has your experience in the MSRS Program changed your perspective on professionalism?</w:t>
      </w:r>
    </w:p>
    <w:p w:rsidR="008109CB" w:rsidRDefault="008109CB" w:rsidP="00F82897">
      <w:pPr>
        <w:rPr>
          <w:rFonts w:ascii="Arial" w:hAnsi="Arial" w:cs="Arial"/>
        </w:rPr>
      </w:pPr>
    </w:p>
    <w:p w:rsidR="002F3964" w:rsidRDefault="008109CB" w:rsidP="008109CB">
      <w:pPr>
        <w:rPr>
          <w:rFonts w:ascii="Arial" w:hAnsi="Arial" w:cs="Arial"/>
        </w:rPr>
      </w:pPr>
      <w:r w:rsidRPr="008109CB">
        <w:rPr>
          <w:rFonts w:ascii="Arial" w:hAnsi="Arial" w:cs="Arial"/>
        </w:rPr>
        <w:t xml:space="preserve">Students should submit the completed reflection (3 – 6 pages in length) as Microsoft Word document in the appropriate D2L </w:t>
      </w:r>
      <w:proofErr w:type="spellStart"/>
      <w:r w:rsidRPr="008109CB">
        <w:rPr>
          <w:rFonts w:ascii="Arial" w:hAnsi="Arial" w:cs="Arial"/>
        </w:rPr>
        <w:t>dropbox</w:t>
      </w:r>
      <w:proofErr w:type="spellEnd"/>
      <w:r w:rsidRPr="008109CB">
        <w:rPr>
          <w:rFonts w:ascii="Arial" w:hAnsi="Arial" w:cs="Arial"/>
        </w:rPr>
        <w:t xml:space="preserve"> by the due date indicated on the course schedule.</w:t>
      </w:r>
    </w:p>
    <w:p w:rsidR="008109CB" w:rsidRPr="008109CB" w:rsidRDefault="002F3964" w:rsidP="008109CB">
      <w:pPr>
        <w:rPr>
          <w:rFonts w:ascii="Arial" w:hAnsi="Arial" w:cs="Arial"/>
        </w:rPr>
      </w:pPr>
      <w:r w:rsidRPr="008109CB">
        <w:rPr>
          <w:rFonts w:ascii="Arial" w:hAnsi="Arial" w:cs="Arial"/>
        </w:rPr>
        <w:t xml:space="preserve"> </w:t>
      </w:r>
    </w:p>
    <w:p w:rsidR="008109CB" w:rsidRDefault="008109CB" w:rsidP="008109CB">
      <w:pPr>
        <w:pStyle w:val="Heading2"/>
        <w:rPr>
          <w:rFonts w:ascii="Arial" w:hAnsi="Arial" w:cs="Arial"/>
          <w:b/>
          <w:color w:val="auto"/>
        </w:rPr>
      </w:pPr>
      <w:r w:rsidRPr="008109CB">
        <w:rPr>
          <w:rFonts w:ascii="Arial" w:hAnsi="Arial" w:cs="Arial"/>
          <w:b/>
          <w:color w:val="auto"/>
        </w:rPr>
        <w:t>Class Participation</w:t>
      </w:r>
    </w:p>
    <w:p w:rsidR="002F3964" w:rsidRPr="002F3964" w:rsidRDefault="002F3964" w:rsidP="002F3964"/>
    <w:p w:rsidR="002F3964" w:rsidRDefault="008109CB" w:rsidP="002F3964">
      <w:pPr>
        <w:rPr>
          <w:rFonts w:ascii="Arial" w:hAnsi="Arial" w:cs="Arial"/>
          <w:color w:val="000000"/>
        </w:rPr>
      </w:pPr>
      <w:r w:rsidRPr="008109CB">
        <w:rPr>
          <w:rFonts w:ascii="Arial" w:hAnsi="Arial" w:cs="Arial"/>
          <w:color w:val="000000"/>
        </w:rPr>
        <w:t>Timeliness of submitting drafts and responsiveness to emails affect the class participation grade. Check the schedule within this syllabus for important dates.</w:t>
      </w:r>
    </w:p>
    <w:p w:rsidR="00F82897" w:rsidRPr="008109CB" w:rsidRDefault="00F82897" w:rsidP="002F3964">
      <w:pPr>
        <w:rPr>
          <w:rFonts w:ascii="Arial" w:hAnsi="Arial" w:cs="Arial"/>
        </w:rPr>
      </w:pPr>
      <w:r w:rsidRPr="008109CB">
        <w:rPr>
          <w:rFonts w:ascii="Arial" w:hAnsi="Arial" w:cs="Arial"/>
        </w:rPr>
        <w:t xml:space="preserve"> </w:t>
      </w:r>
    </w:p>
    <w:p w:rsidR="00AF713E" w:rsidRDefault="00AF713E" w:rsidP="00AF713E">
      <w:pPr>
        <w:pStyle w:val="NormalWeb"/>
        <w:spacing w:before="0" w:beforeAutospacing="0" w:after="0" w:afterAutospacing="0"/>
        <w:rPr>
          <w:rFonts w:ascii="Arial" w:hAnsi="Arial" w:cs="Arial"/>
          <w:b/>
          <w:sz w:val="24"/>
          <w:szCs w:val="24"/>
        </w:rPr>
      </w:pPr>
      <w:r w:rsidRPr="008109CB">
        <w:rPr>
          <w:rFonts w:ascii="Arial" w:hAnsi="Arial" w:cs="Arial"/>
          <w:b/>
          <w:sz w:val="24"/>
          <w:szCs w:val="24"/>
        </w:rPr>
        <w:t>Sample Matrix</w:t>
      </w:r>
    </w:p>
    <w:p w:rsidR="002F3964" w:rsidRPr="008109CB" w:rsidRDefault="002F3964" w:rsidP="00AF713E">
      <w:pPr>
        <w:pStyle w:val="NormalWeb"/>
        <w:spacing w:before="0" w:beforeAutospacing="0" w:after="0" w:afterAutospacing="0"/>
        <w:rPr>
          <w:rFonts w:ascii="Arial" w:hAnsi="Arial" w:cs="Arial"/>
          <w:b/>
          <w:sz w:val="24"/>
          <w:szCs w:val="24"/>
        </w:rPr>
      </w:pPr>
    </w:p>
    <w:p w:rsidR="00AF713E" w:rsidRPr="008109CB" w:rsidRDefault="00AF713E" w:rsidP="00AF713E">
      <w:pPr>
        <w:pStyle w:val="NormalWeb"/>
        <w:spacing w:before="0" w:beforeAutospacing="0" w:after="0" w:afterAutospacing="0"/>
        <w:rPr>
          <w:rFonts w:ascii="Arial" w:hAnsi="Arial" w:cs="Arial"/>
          <w:sz w:val="24"/>
          <w:szCs w:val="24"/>
        </w:rPr>
      </w:pPr>
      <w:r w:rsidRPr="008109CB">
        <w:rPr>
          <w:rFonts w:ascii="Arial" w:hAnsi="Arial" w:cs="Arial"/>
          <w:sz w:val="24"/>
          <w:szCs w:val="24"/>
        </w:rPr>
        <w:t>Title: The Flipped Classroom in Radiologic Science Education</w:t>
      </w:r>
    </w:p>
    <w:p w:rsidR="00AF713E" w:rsidRPr="008109CB" w:rsidRDefault="00AF713E" w:rsidP="00AF713E">
      <w:pPr>
        <w:pStyle w:val="NormalWeb"/>
        <w:spacing w:before="0" w:beforeAutospacing="0" w:after="0" w:afterAutospacing="0"/>
        <w:jc w:val="center"/>
        <w:rPr>
          <w:rFonts w:ascii="Arial" w:hAnsi="Arial" w:cs="Arial"/>
          <w:sz w:val="24"/>
          <w:szCs w:val="24"/>
        </w:rPr>
      </w:pPr>
    </w:p>
    <w:tbl>
      <w:tblPr>
        <w:tblStyle w:val="TableGrid"/>
        <w:tblW w:w="0" w:type="auto"/>
        <w:tblLook w:val="04A0" w:firstRow="1" w:lastRow="0" w:firstColumn="1" w:lastColumn="0" w:noHBand="0" w:noVBand="1"/>
        <w:tblCaption w:val="Matrix table"/>
        <w:tblDescription w:val="This table demonstrates an example of the matrix assignment. "/>
      </w:tblPr>
      <w:tblGrid>
        <w:gridCol w:w="2214"/>
        <w:gridCol w:w="2310"/>
        <w:gridCol w:w="2505"/>
        <w:gridCol w:w="2321"/>
      </w:tblGrid>
      <w:tr w:rsidR="00AB6DD0" w:rsidRPr="00AB6DD0" w:rsidTr="00A077D9">
        <w:trPr>
          <w:trHeight w:val="576"/>
          <w:tblHeader/>
        </w:trPr>
        <w:tc>
          <w:tcPr>
            <w:tcW w:w="2826" w:type="dxa"/>
            <w:shd w:val="clear" w:color="auto" w:fill="000000" w:themeFill="text1"/>
          </w:tcPr>
          <w:p w:rsidR="00AF713E" w:rsidRPr="00AB6DD0" w:rsidRDefault="00AF713E" w:rsidP="00AB6DD0">
            <w:pPr>
              <w:pStyle w:val="Heading1"/>
              <w:outlineLvl w:val="0"/>
              <w:rPr>
                <w:color w:val="auto"/>
              </w:rPr>
            </w:pPr>
          </w:p>
        </w:tc>
        <w:tc>
          <w:tcPr>
            <w:tcW w:w="2826" w:type="dxa"/>
            <w:vAlign w:val="center"/>
          </w:tcPr>
          <w:p w:rsidR="00AF713E" w:rsidRPr="00A077D9" w:rsidRDefault="00AF713E" w:rsidP="00AB6DD0">
            <w:pPr>
              <w:pStyle w:val="Heading1"/>
              <w:outlineLvl w:val="0"/>
              <w:rPr>
                <w:rFonts w:ascii="Arial" w:hAnsi="Arial" w:cs="Arial"/>
                <w:b/>
                <w:color w:val="auto"/>
                <w:sz w:val="24"/>
                <w:szCs w:val="24"/>
              </w:rPr>
            </w:pPr>
            <w:r w:rsidRPr="00A077D9">
              <w:rPr>
                <w:rFonts w:ascii="Arial" w:hAnsi="Arial" w:cs="Arial"/>
                <w:b/>
                <w:color w:val="auto"/>
                <w:sz w:val="24"/>
                <w:szCs w:val="24"/>
              </w:rPr>
              <w:t>Students’ Perceptions</w:t>
            </w:r>
          </w:p>
        </w:tc>
        <w:tc>
          <w:tcPr>
            <w:tcW w:w="2826" w:type="dxa"/>
            <w:vAlign w:val="center"/>
          </w:tcPr>
          <w:p w:rsidR="00AF713E" w:rsidRPr="00A077D9" w:rsidRDefault="00AF713E" w:rsidP="00AB6DD0">
            <w:pPr>
              <w:pStyle w:val="Heading1"/>
              <w:outlineLvl w:val="0"/>
              <w:rPr>
                <w:rFonts w:ascii="Arial" w:hAnsi="Arial" w:cs="Arial"/>
                <w:b/>
                <w:color w:val="auto"/>
                <w:sz w:val="24"/>
                <w:szCs w:val="24"/>
              </w:rPr>
            </w:pPr>
            <w:r w:rsidRPr="00A077D9">
              <w:rPr>
                <w:rFonts w:ascii="Arial" w:hAnsi="Arial" w:cs="Arial"/>
                <w:b/>
                <w:color w:val="auto"/>
                <w:sz w:val="24"/>
                <w:szCs w:val="24"/>
              </w:rPr>
              <w:t>Instructors’ Responsibilities</w:t>
            </w:r>
          </w:p>
        </w:tc>
        <w:tc>
          <w:tcPr>
            <w:tcW w:w="2826" w:type="dxa"/>
            <w:vAlign w:val="center"/>
          </w:tcPr>
          <w:p w:rsidR="00AF713E" w:rsidRPr="00A077D9" w:rsidRDefault="00AF713E" w:rsidP="00AB6DD0">
            <w:pPr>
              <w:pStyle w:val="Heading1"/>
              <w:outlineLvl w:val="0"/>
              <w:rPr>
                <w:rFonts w:ascii="Arial" w:hAnsi="Arial" w:cs="Arial"/>
                <w:b/>
                <w:color w:val="auto"/>
                <w:sz w:val="24"/>
                <w:szCs w:val="24"/>
              </w:rPr>
            </w:pPr>
            <w:r w:rsidRPr="00A077D9">
              <w:rPr>
                <w:rFonts w:ascii="Arial" w:hAnsi="Arial" w:cs="Arial"/>
                <w:b/>
                <w:color w:val="auto"/>
                <w:sz w:val="24"/>
                <w:szCs w:val="24"/>
              </w:rPr>
              <w:t>Implications in RS Education</w:t>
            </w:r>
          </w:p>
        </w:tc>
      </w:tr>
      <w:tr w:rsidR="00AF713E" w:rsidRPr="008109CB" w:rsidTr="00224A5A">
        <w:trPr>
          <w:trHeight w:val="576"/>
        </w:trPr>
        <w:tc>
          <w:tcPr>
            <w:tcW w:w="2826" w:type="dxa"/>
            <w:vAlign w:val="center"/>
          </w:tcPr>
          <w:p w:rsidR="00AF713E" w:rsidRPr="008109CB" w:rsidRDefault="00AF713E" w:rsidP="00224A5A">
            <w:pPr>
              <w:pStyle w:val="NormalWeb"/>
              <w:spacing w:before="0" w:beforeAutospacing="0" w:after="0" w:afterAutospacing="0"/>
              <w:rPr>
                <w:rFonts w:ascii="Arial" w:hAnsi="Arial" w:cs="Arial"/>
                <w:b/>
                <w:sz w:val="24"/>
                <w:szCs w:val="24"/>
              </w:rPr>
            </w:pPr>
            <w:r w:rsidRPr="008109CB">
              <w:rPr>
                <w:rFonts w:ascii="Arial" w:hAnsi="Arial" w:cs="Arial"/>
                <w:b/>
                <w:sz w:val="24"/>
                <w:szCs w:val="24"/>
              </w:rPr>
              <w:t>Clark &amp; Watts, 2015</w:t>
            </w:r>
          </w:p>
        </w:tc>
        <w:tc>
          <w:tcPr>
            <w:tcW w:w="2826" w:type="dxa"/>
            <w:vAlign w:val="center"/>
          </w:tcPr>
          <w:p w:rsidR="00AF713E" w:rsidRPr="008109CB" w:rsidRDefault="00AF713E" w:rsidP="00224A5A">
            <w:pPr>
              <w:pStyle w:val="NormalWeb"/>
              <w:spacing w:before="0" w:beforeAutospacing="0" w:after="0" w:afterAutospacing="0"/>
              <w:jc w:val="center"/>
              <w:rPr>
                <w:rFonts w:ascii="Arial" w:hAnsi="Arial" w:cs="Arial"/>
                <w:sz w:val="24"/>
                <w:szCs w:val="24"/>
              </w:rPr>
            </w:pPr>
            <w:r w:rsidRPr="008109CB">
              <w:rPr>
                <w:rFonts w:ascii="Arial" w:hAnsi="Arial" w:cs="Arial"/>
                <w:sz w:val="24"/>
                <w:szCs w:val="24"/>
              </w:rPr>
              <w:t>Active engagement</w:t>
            </w:r>
          </w:p>
        </w:tc>
        <w:tc>
          <w:tcPr>
            <w:tcW w:w="2826" w:type="dxa"/>
            <w:vAlign w:val="center"/>
          </w:tcPr>
          <w:p w:rsidR="00AF713E" w:rsidRPr="008109CB" w:rsidRDefault="00AF713E" w:rsidP="00224A5A">
            <w:pPr>
              <w:pStyle w:val="NormalWeb"/>
              <w:spacing w:before="0" w:beforeAutospacing="0" w:after="0" w:afterAutospacing="0"/>
              <w:jc w:val="center"/>
              <w:rPr>
                <w:rFonts w:ascii="Arial" w:hAnsi="Arial" w:cs="Arial"/>
                <w:sz w:val="24"/>
                <w:szCs w:val="24"/>
              </w:rPr>
            </w:pPr>
            <w:r w:rsidRPr="008109CB">
              <w:rPr>
                <w:rFonts w:ascii="Arial" w:hAnsi="Arial" w:cs="Arial"/>
                <w:sz w:val="24"/>
                <w:szCs w:val="24"/>
              </w:rPr>
              <w:t>Instructor = facilitator</w:t>
            </w:r>
          </w:p>
        </w:tc>
        <w:tc>
          <w:tcPr>
            <w:tcW w:w="2826" w:type="dxa"/>
            <w:vAlign w:val="center"/>
          </w:tcPr>
          <w:p w:rsidR="00AF713E" w:rsidRPr="008109CB" w:rsidRDefault="00AF713E" w:rsidP="00224A5A">
            <w:pPr>
              <w:pStyle w:val="NormalWeb"/>
              <w:spacing w:before="0" w:beforeAutospacing="0" w:after="0" w:afterAutospacing="0"/>
              <w:jc w:val="center"/>
              <w:rPr>
                <w:rFonts w:ascii="Arial" w:hAnsi="Arial" w:cs="Arial"/>
                <w:sz w:val="24"/>
                <w:szCs w:val="24"/>
              </w:rPr>
            </w:pPr>
            <w:r w:rsidRPr="008109CB">
              <w:rPr>
                <w:rFonts w:ascii="Arial" w:hAnsi="Arial" w:cs="Arial"/>
                <w:sz w:val="24"/>
                <w:szCs w:val="24"/>
              </w:rPr>
              <w:t>X</w:t>
            </w:r>
          </w:p>
        </w:tc>
      </w:tr>
      <w:tr w:rsidR="00AF713E" w:rsidRPr="008109CB" w:rsidTr="00224A5A">
        <w:trPr>
          <w:trHeight w:val="576"/>
        </w:trPr>
        <w:tc>
          <w:tcPr>
            <w:tcW w:w="2826" w:type="dxa"/>
            <w:shd w:val="clear" w:color="auto" w:fill="BFBFBF" w:themeFill="background1" w:themeFillShade="BF"/>
            <w:vAlign w:val="center"/>
          </w:tcPr>
          <w:p w:rsidR="00AF713E" w:rsidRPr="008109CB" w:rsidRDefault="00AF713E" w:rsidP="00224A5A">
            <w:pPr>
              <w:pStyle w:val="NormalWeb"/>
              <w:spacing w:before="0" w:beforeAutospacing="0" w:after="0" w:afterAutospacing="0"/>
              <w:rPr>
                <w:rFonts w:ascii="Arial" w:hAnsi="Arial" w:cs="Arial"/>
                <w:b/>
                <w:sz w:val="24"/>
                <w:szCs w:val="24"/>
              </w:rPr>
            </w:pPr>
            <w:r w:rsidRPr="008109CB">
              <w:rPr>
                <w:rFonts w:ascii="Arial" w:hAnsi="Arial" w:cs="Arial"/>
                <w:b/>
                <w:sz w:val="24"/>
                <w:szCs w:val="24"/>
              </w:rPr>
              <w:t>Johnston, 2014</w:t>
            </w:r>
          </w:p>
        </w:tc>
        <w:tc>
          <w:tcPr>
            <w:tcW w:w="2826" w:type="dxa"/>
            <w:shd w:val="clear" w:color="auto" w:fill="BFBFBF" w:themeFill="background1" w:themeFillShade="BF"/>
            <w:vAlign w:val="center"/>
          </w:tcPr>
          <w:p w:rsidR="00AF713E" w:rsidRPr="008109CB" w:rsidRDefault="00AF713E" w:rsidP="00224A5A">
            <w:pPr>
              <w:pStyle w:val="NormalWeb"/>
              <w:spacing w:before="0" w:beforeAutospacing="0" w:after="0" w:afterAutospacing="0"/>
              <w:jc w:val="center"/>
              <w:rPr>
                <w:rFonts w:ascii="Arial" w:hAnsi="Arial" w:cs="Arial"/>
                <w:sz w:val="24"/>
                <w:szCs w:val="24"/>
              </w:rPr>
            </w:pPr>
            <w:r w:rsidRPr="008109CB">
              <w:rPr>
                <w:rFonts w:ascii="Arial" w:hAnsi="Arial" w:cs="Arial"/>
                <w:sz w:val="24"/>
                <w:szCs w:val="24"/>
              </w:rPr>
              <w:t>Hands-on learning</w:t>
            </w:r>
          </w:p>
        </w:tc>
        <w:tc>
          <w:tcPr>
            <w:tcW w:w="2826" w:type="dxa"/>
            <w:shd w:val="clear" w:color="auto" w:fill="BFBFBF" w:themeFill="background1" w:themeFillShade="BF"/>
            <w:vAlign w:val="center"/>
          </w:tcPr>
          <w:p w:rsidR="00AF713E" w:rsidRPr="008109CB" w:rsidRDefault="00AF713E" w:rsidP="00224A5A">
            <w:pPr>
              <w:pStyle w:val="NormalWeb"/>
              <w:spacing w:before="0" w:beforeAutospacing="0" w:after="0" w:afterAutospacing="0"/>
              <w:jc w:val="center"/>
              <w:rPr>
                <w:rFonts w:ascii="Arial" w:hAnsi="Arial" w:cs="Arial"/>
                <w:sz w:val="24"/>
                <w:szCs w:val="24"/>
              </w:rPr>
            </w:pPr>
            <w:r w:rsidRPr="008109CB">
              <w:rPr>
                <w:rFonts w:ascii="Arial" w:hAnsi="Arial" w:cs="Arial"/>
                <w:sz w:val="24"/>
                <w:szCs w:val="24"/>
              </w:rPr>
              <w:t>Technology considerations</w:t>
            </w:r>
          </w:p>
        </w:tc>
        <w:tc>
          <w:tcPr>
            <w:tcW w:w="2826" w:type="dxa"/>
            <w:shd w:val="clear" w:color="auto" w:fill="BFBFBF" w:themeFill="background1" w:themeFillShade="BF"/>
            <w:vAlign w:val="center"/>
          </w:tcPr>
          <w:p w:rsidR="00AF713E" w:rsidRPr="008109CB" w:rsidRDefault="00AF713E" w:rsidP="00224A5A">
            <w:pPr>
              <w:pStyle w:val="NormalWeb"/>
              <w:spacing w:before="0" w:beforeAutospacing="0" w:after="0" w:afterAutospacing="0"/>
              <w:jc w:val="center"/>
              <w:rPr>
                <w:rFonts w:ascii="Arial" w:hAnsi="Arial" w:cs="Arial"/>
                <w:sz w:val="24"/>
                <w:szCs w:val="24"/>
              </w:rPr>
            </w:pPr>
            <w:r w:rsidRPr="008109CB">
              <w:rPr>
                <w:rFonts w:ascii="Arial" w:hAnsi="Arial" w:cs="Arial"/>
                <w:sz w:val="24"/>
                <w:szCs w:val="24"/>
              </w:rPr>
              <w:t>X</w:t>
            </w:r>
          </w:p>
        </w:tc>
      </w:tr>
      <w:tr w:rsidR="00AF713E" w:rsidRPr="008109CB" w:rsidTr="00224A5A">
        <w:trPr>
          <w:trHeight w:val="576"/>
        </w:trPr>
        <w:tc>
          <w:tcPr>
            <w:tcW w:w="2826" w:type="dxa"/>
            <w:vAlign w:val="center"/>
          </w:tcPr>
          <w:p w:rsidR="00AF713E" w:rsidRPr="008109CB" w:rsidRDefault="00AF713E" w:rsidP="00224A5A">
            <w:pPr>
              <w:pStyle w:val="NormalWeb"/>
              <w:spacing w:before="0" w:beforeAutospacing="0" w:after="0" w:afterAutospacing="0"/>
              <w:rPr>
                <w:rFonts w:ascii="Arial" w:hAnsi="Arial" w:cs="Arial"/>
                <w:b/>
                <w:sz w:val="24"/>
                <w:szCs w:val="24"/>
              </w:rPr>
            </w:pPr>
            <w:r w:rsidRPr="008109CB">
              <w:rPr>
                <w:rFonts w:ascii="Arial" w:hAnsi="Arial" w:cs="Arial"/>
                <w:b/>
                <w:sz w:val="24"/>
                <w:szCs w:val="24"/>
              </w:rPr>
              <w:t>Killion et al., 2014</w:t>
            </w:r>
          </w:p>
        </w:tc>
        <w:tc>
          <w:tcPr>
            <w:tcW w:w="2826" w:type="dxa"/>
            <w:vAlign w:val="center"/>
          </w:tcPr>
          <w:p w:rsidR="00AF713E" w:rsidRPr="008109CB" w:rsidRDefault="00AF713E" w:rsidP="00224A5A">
            <w:pPr>
              <w:pStyle w:val="NormalWeb"/>
              <w:spacing w:before="0" w:beforeAutospacing="0" w:after="0" w:afterAutospacing="0"/>
              <w:jc w:val="center"/>
              <w:rPr>
                <w:rFonts w:ascii="Arial" w:hAnsi="Arial" w:cs="Arial"/>
                <w:sz w:val="24"/>
                <w:szCs w:val="24"/>
              </w:rPr>
            </w:pPr>
            <w:r w:rsidRPr="008109CB">
              <w:rPr>
                <w:rFonts w:ascii="Arial" w:hAnsi="Arial" w:cs="Arial"/>
                <w:sz w:val="24"/>
                <w:szCs w:val="24"/>
              </w:rPr>
              <w:t>Active learning</w:t>
            </w:r>
          </w:p>
        </w:tc>
        <w:tc>
          <w:tcPr>
            <w:tcW w:w="2826" w:type="dxa"/>
            <w:vAlign w:val="center"/>
          </w:tcPr>
          <w:p w:rsidR="00AF713E" w:rsidRPr="008109CB" w:rsidRDefault="00AF713E" w:rsidP="00224A5A">
            <w:pPr>
              <w:pStyle w:val="NormalWeb"/>
              <w:spacing w:before="0" w:beforeAutospacing="0" w:after="0" w:afterAutospacing="0"/>
              <w:jc w:val="center"/>
              <w:rPr>
                <w:rFonts w:ascii="Arial" w:hAnsi="Arial" w:cs="Arial"/>
                <w:sz w:val="24"/>
                <w:szCs w:val="24"/>
              </w:rPr>
            </w:pPr>
            <w:r w:rsidRPr="008109CB">
              <w:rPr>
                <w:rFonts w:ascii="Arial" w:hAnsi="Arial" w:cs="Arial"/>
                <w:sz w:val="24"/>
                <w:szCs w:val="24"/>
              </w:rPr>
              <w:t>Video technology</w:t>
            </w:r>
          </w:p>
        </w:tc>
        <w:tc>
          <w:tcPr>
            <w:tcW w:w="2826" w:type="dxa"/>
            <w:vAlign w:val="center"/>
          </w:tcPr>
          <w:p w:rsidR="00AF713E" w:rsidRPr="008109CB" w:rsidRDefault="00AF713E" w:rsidP="00224A5A">
            <w:pPr>
              <w:pStyle w:val="NormalWeb"/>
              <w:spacing w:before="0" w:beforeAutospacing="0" w:after="0" w:afterAutospacing="0"/>
              <w:jc w:val="center"/>
              <w:rPr>
                <w:rFonts w:ascii="Arial" w:hAnsi="Arial" w:cs="Arial"/>
                <w:sz w:val="24"/>
                <w:szCs w:val="24"/>
              </w:rPr>
            </w:pPr>
            <w:r w:rsidRPr="008109CB">
              <w:rPr>
                <w:rFonts w:ascii="Arial" w:hAnsi="Arial" w:cs="Arial"/>
                <w:sz w:val="24"/>
                <w:szCs w:val="24"/>
              </w:rPr>
              <w:t>Flipped imaging course</w:t>
            </w:r>
          </w:p>
        </w:tc>
      </w:tr>
      <w:tr w:rsidR="00AF713E" w:rsidRPr="008109CB" w:rsidTr="00224A5A">
        <w:trPr>
          <w:trHeight w:val="576"/>
        </w:trPr>
        <w:tc>
          <w:tcPr>
            <w:tcW w:w="2826" w:type="dxa"/>
            <w:shd w:val="clear" w:color="auto" w:fill="BFBFBF" w:themeFill="background1" w:themeFillShade="BF"/>
            <w:vAlign w:val="center"/>
          </w:tcPr>
          <w:p w:rsidR="00AF713E" w:rsidRPr="008109CB" w:rsidRDefault="00AF713E" w:rsidP="00224A5A">
            <w:pPr>
              <w:pStyle w:val="NormalWeb"/>
              <w:spacing w:before="0" w:beforeAutospacing="0" w:after="0" w:afterAutospacing="0"/>
              <w:rPr>
                <w:rFonts w:ascii="Arial" w:hAnsi="Arial" w:cs="Arial"/>
                <w:b/>
                <w:sz w:val="24"/>
                <w:szCs w:val="24"/>
              </w:rPr>
            </w:pPr>
            <w:r w:rsidRPr="008109CB">
              <w:rPr>
                <w:rFonts w:ascii="Arial" w:hAnsi="Arial" w:cs="Arial"/>
                <w:b/>
                <w:sz w:val="24"/>
                <w:szCs w:val="24"/>
              </w:rPr>
              <w:lastRenderedPageBreak/>
              <w:t>Onstott, Fischer, &amp; Killion, 2015</w:t>
            </w:r>
          </w:p>
        </w:tc>
        <w:tc>
          <w:tcPr>
            <w:tcW w:w="2826" w:type="dxa"/>
            <w:shd w:val="clear" w:color="auto" w:fill="BFBFBF" w:themeFill="background1" w:themeFillShade="BF"/>
            <w:vAlign w:val="center"/>
          </w:tcPr>
          <w:p w:rsidR="00AF713E" w:rsidRPr="008109CB" w:rsidRDefault="00AF713E" w:rsidP="00224A5A">
            <w:pPr>
              <w:pStyle w:val="NormalWeb"/>
              <w:spacing w:before="0" w:beforeAutospacing="0" w:after="0" w:afterAutospacing="0"/>
              <w:jc w:val="center"/>
              <w:rPr>
                <w:rFonts w:ascii="Arial" w:hAnsi="Arial" w:cs="Arial"/>
                <w:sz w:val="24"/>
                <w:szCs w:val="24"/>
              </w:rPr>
            </w:pPr>
            <w:r w:rsidRPr="008109CB">
              <w:rPr>
                <w:rFonts w:ascii="Arial" w:hAnsi="Arial" w:cs="Arial"/>
                <w:sz w:val="24"/>
                <w:szCs w:val="24"/>
              </w:rPr>
              <w:t>X</w:t>
            </w:r>
          </w:p>
        </w:tc>
        <w:tc>
          <w:tcPr>
            <w:tcW w:w="2826" w:type="dxa"/>
            <w:shd w:val="clear" w:color="auto" w:fill="BFBFBF" w:themeFill="background1" w:themeFillShade="BF"/>
            <w:vAlign w:val="center"/>
          </w:tcPr>
          <w:p w:rsidR="00AF713E" w:rsidRPr="008109CB" w:rsidRDefault="00AF713E" w:rsidP="00224A5A">
            <w:pPr>
              <w:pStyle w:val="NormalWeb"/>
              <w:spacing w:before="0" w:beforeAutospacing="0" w:after="0" w:afterAutospacing="0"/>
              <w:jc w:val="center"/>
              <w:rPr>
                <w:rFonts w:ascii="Arial" w:hAnsi="Arial" w:cs="Arial"/>
                <w:sz w:val="24"/>
                <w:szCs w:val="24"/>
              </w:rPr>
            </w:pPr>
            <w:r w:rsidRPr="008109CB">
              <w:rPr>
                <w:rFonts w:ascii="Arial" w:hAnsi="Arial" w:cs="Arial"/>
                <w:sz w:val="24"/>
                <w:szCs w:val="24"/>
              </w:rPr>
              <w:t>Students not prepared for class</w:t>
            </w:r>
          </w:p>
        </w:tc>
        <w:tc>
          <w:tcPr>
            <w:tcW w:w="2826" w:type="dxa"/>
            <w:shd w:val="clear" w:color="auto" w:fill="BFBFBF" w:themeFill="background1" w:themeFillShade="BF"/>
            <w:vAlign w:val="center"/>
          </w:tcPr>
          <w:p w:rsidR="00AF713E" w:rsidRPr="008109CB" w:rsidRDefault="00AF713E" w:rsidP="00224A5A">
            <w:pPr>
              <w:pStyle w:val="NormalWeb"/>
              <w:spacing w:before="0" w:beforeAutospacing="0" w:after="0" w:afterAutospacing="0"/>
              <w:jc w:val="center"/>
              <w:rPr>
                <w:rFonts w:ascii="Arial" w:hAnsi="Arial" w:cs="Arial"/>
                <w:sz w:val="24"/>
                <w:szCs w:val="24"/>
              </w:rPr>
            </w:pPr>
            <w:r w:rsidRPr="008109CB">
              <w:rPr>
                <w:rFonts w:ascii="Arial" w:hAnsi="Arial" w:cs="Arial"/>
                <w:sz w:val="24"/>
                <w:szCs w:val="24"/>
              </w:rPr>
              <w:t>X</w:t>
            </w:r>
          </w:p>
        </w:tc>
      </w:tr>
      <w:tr w:rsidR="00AF713E" w:rsidRPr="008109CB" w:rsidTr="00224A5A">
        <w:trPr>
          <w:trHeight w:val="576"/>
        </w:trPr>
        <w:tc>
          <w:tcPr>
            <w:tcW w:w="2826" w:type="dxa"/>
            <w:vAlign w:val="center"/>
          </w:tcPr>
          <w:p w:rsidR="00AF713E" w:rsidRPr="008109CB" w:rsidRDefault="00AF713E" w:rsidP="00224A5A">
            <w:pPr>
              <w:pStyle w:val="NormalWeb"/>
              <w:spacing w:before="0" w:beforeAutospacing="0" w:after="0" w:afterAutospacing="0"/>
              <w:rPr>
                <w:rFonts w:ascii="Arial" w:hAnsi="Arial" w:cs="Arial"/>
                <w:b/>
                <w:sz w:val="24"/>
                <w:szCs w:val="24"/>
              </w:rPr>
            </w:pPr>
            <w:r w:rsidRPr="008109CB">
              <w:rPr>
                <w:rFonts w:ascii="Arial" w:hAnsi="Arial" w:cs="Arial"/>
                <w:b/>
                <w:sz w:val="24"/>
                <w:szCs w:val="24"/>
              </w:rPr>
              <w:t>Sanders &amp; Wynne, 2015</w:t>
            </w:r>
          </w:p>
        </w:tc>
        <w:tc>
          <w:tcPr>
            <w:tcW w:w="2826" w:type="dxa"/>
            <w:vAlign w:val="center"/>
          </w:tcPr>
          <w:p w:rsidR="00AF713E" w:rsidRPr="008109CB" w:rsidRDefault="00AF713E" w:rsidP="00224A5A">
            <w:pPr>
              <w:pStyle w:val="NormalWeb"/>
              <w:spacing w:before="0" w:beforeAutospacing="0" w:after="0" w:afterAutospacing="0"/>
              <w:jc w:val="center"/>
              <w:rPr>
                <w:rFonts w:ascii="Arial" w:hAnsi="Arial" w:cs="Arial"/>
                <w:sz w:val="24"/>
                <w:szCs w:val="24"/>
              </w:rPr>
            </w:pPr>
            <w:r w:rsidRPr="008109CB">
              <w:rPr>
                <w:rFonts w:ascii="Arial" w:hAnsi="Arial" w:cs="Arial"/>
                <w:sz w:val="24"/>
                <w:szCs w:val="24"/>
              </w:rPr>
              <w:t>Real-world applications</w:t>
            </w:r>
          </w:p>
        </w:tc>
        <w:tc>
          <w:tcPr>
            <w:tcW w:w="2826" w:type="dxa"/>
            <w:vAlign w:val="center"/>
          </w:tcPr>
          <w:p w:rsidR="00AF713E" w:rsidRPr="008109CB" w:rsidRDefault="00AF713E" w:rsidP="00224A5A">
            <w:pPr>
              <w:pStyle w:val="NormalWeb"/>
              <w:spacing w:before="0" w:beforeAutospacing="0" w:after="0" w:afterAutospacing="0"/>
              <w:jc w:val="center"/>
              <w:rPr>
                <w:rFonts w:ascii="Arial" w:hAnsi="Arial" w:cs="Arial"/>
                <w:sz w:val="24"/>
                <w:szCs w:val="24"/>
              </w:rPr>
            </w:pPr>
            <w:r w:rsidRPr="008109CB">
              <w:rPr>
                <w:rFonts w:ascii="Arial" w:hAnsi="Arial" w:cs="Arial"/>
                <w:sz w:val="24"/>
                <w:szCs w:val="24"/>
              </w:rPr>
              <w:t>Tips for technology usage</w:t>
            </w:r>
          </w:p>
        </w:tc>
        <w:tc>
          <w:tcPr>
            <w:tcW w:w="2826" w:type="dxa"/>
            <w:vAlign w:val="center"/>
          </w:tcPr>
          <w:p w:rsidR="00AF713E" w:rsidRPr="008109CB" w:rsidRDefault="00AF713E" w:rsidP="00224A5A">
            <w:pPr>
              <w:pStyle w:val="NormalWeb"/>
              <w:spacing w:before="0" w:beforeAutospacing="0" w:after="0" w:afterAutospacing="0"/>
              <w:jc w:val="center"/>
              <w:rPr>
                <w:rFonts w:ascii="Arial" w:hAnsi="Arial" w:cs="Arial"/>
                <w:sz w:val="24"/>
                <w:szCs w:val="24"/>
              </w:rPr>
            </w:pPr>
            <w:r w:rsidRPr="008109CB">
              <w:rPr>
                <w:rFonts w:ascii="Arial" w:hAnsi="Arial" w:cs="Arial"/>
                <w:sz w:val="24"/>
                <w:szCs w:val="24"/>
              </w:rPr>
              <w:t>Additional flipped activities</w:t>
            </w:r>
          </w:p>
        </w:tc>
      </w:tr>
      <w:tr w:rsidR="00AF713E" w:rsidRPr="008109CB" w:rsidTr="00224A5A">
        <w:trPr>
          <w:trHeight w:val="576"/>
        </w:trPr>
        <w:tc>
          <w:tcPr>
            <w:tcW w:w="2826" w:type="dxa"/>
            <w:shd w:val="clear" w:color="auto" w:fill="BFBFBF" w:themeFill="background1" w:themeFillShade="BF"/>
            <w:vAlign w:val="center"/>
          </w:tcPr>
          <w:p w:rsidR="00AF713E" w:rsidRPr="008109CB" w:rsidRDefault="00AF713E" w:rsidP="00224A5A">
            <w:pPr>
              <w:pStyle w:val="NormalWeb"/>
              <w:spacing w:before="0" w:beforeAutospacing="0" w:after="0" w:afterAutospacing="0"/>
              <w:rPr>
                <w:rFonts w:ascii="Arial" w:hAnsi="Arial" w:cs="Arial"/>
                <w:b/>
                <w:sz w:val="24"/>
                <w:szCs w:val="24"/>
              </w:rPr>
            </w:pPr>
            <w:r w:rsidRPr="008109CB">
              <w:rPr>
                <w:rFonts w:ascii="Arial" w:hAnsi="Arial" w:cs="Arial"/>
                <w:b/>
                <w:sz w:val="24"/>
                <w:szCs w:val="24"/>
              </w:rPr>
              <w:t>Watts, 2016</w:t>
            </w:r>
          </w:p>
        </w:tc>
        <w:tc>
          <w:tcPr>
            <w:tcW w:w="2826" w:type="dxa"/>
            <w:shd w:val="clear" w:color="auto" w:fill="BFBFBF" w:themeFill="background1" w:themeFillShade="BF"/>
            <w:vAlign w:val="center"/>
          </w:tcPr>
          <w:p w:rsidR="00AF713E" w:rsidRPr="008109CB" w:rsidRDefault="00AF713E" w:rsidP="00224A5A">
            <w:pPr>
              <w:pStyle w:val="NormalWeb"/>
              <w:spacing w:before="0" w:beforeAutospacing="0" w:after="0" w:afterAutospacing="0"/>
              <w:jc w:val="center"/>
              <w:rPr>
                <w:rFonts w:ascii="Arial" w:hAnsi="Arial" w:cs="Arial"/>
                <w:sz w:val="24"/>
                <w:szCs w:val="24"/>
              </w:rPr>
            </w:pPr>
            <w:r w:rsidRPr="008109CB">
              <w:rPr>
                <w:rFonts w:ascii="Arial" w:hAnsi="Arial" w:cs="Arial"/>
                <w:sz w:val="24"/>
                <w:szCs w:val="24"/>
              </w:rPr>
              <w:t>Active participation</w:t>
            </w:r>
          </w:p>
        </w:tc>
        <w:tc>
          <w:tcPr>
            <w:tcW w:w="2826" w:type="dxa"/>
            <w:shd w:val="clear" w:color="auto" w:fill="BFBFBF" w:themeFill="background1" w:themeFillShade="BF"/>
            <w:vAlign w:val="center"/>
          </w:tcPr>
          <w:p w:rsidR="00AF713E" w:rsidRPr="008109CB" w:rsidRDefault="00AF713E" w:rsidP="00224A5A">
            <w:pPr>
              <w:pStyle w:val="NormalWeb"/>
              <w:spacing w:before="0" w:beforeAutospacing="0" w:after="0" w:afterAutospacing="0"/>
              <w:jc w:val="center"/>
              <w:rPr>
                <w:rFonts w:ascii="Arial" w:hAnsi="Arial" w:cs="Arial"/>
                <w:sz w:val="24"/>
                <w:szCs w:val="24"/>
              </w:rPr>
            </w:pPr>
            <w:r w:rsidRPr="008109CB">
              <w:rPr>
                <w:rFonts w:ascii="Arial" w:hAnsi="Arial" w:cs="Arial"/>
                <w:sz w:val="24"/>
                <w:szCs w:val="24"/>
              </w:rPr>
              <w:t>Planning and preparation</w:t>
            </w:r>
          </w:p>
        </w:tc>
        <w:tc>
          <w:tcPr>
            <w:tcW w:w="2826" w:type="dxa"/>
            <w:shd w:val="clear" w:color="auto" w:fill="BFBFBF" w:themeFill="background1" w:themeFillShade="BF"/>
            <w:vAlign w:val="center"/>
          </w:tcPr>
          <w:p w:rsidR="00AF713E" w:rsidRPr="008109CB" w:rsidRDefault="00AF713E" w:rsidP="00224A5A">
            <w:pPr>
              <w:pStyle w:val="NormalWeb"/>
              <w:spacing w:before="0" w:beforeAutospacing="0" w:after="0" w:afterAutospacing="0"/>
              <w:jc w:val="center"/>
              <w:rPr>
                <w:rFonts w:ascii="Arial" w:hAnsi="Arial" w:cs="Arial"/>
                <w:sz w:val="24"/>
                <w:szCs w:val="24"/>
              </w:rPr>
            </w:pPr>
            <w:r w:rsidRPr="008109CB">
              <w:rPr>
                <w:rFonts w:ascii="Arial" w:hAnsi="Arial" w:cs="Arial"/>
                <w:sz w:val="24"/>
                <w:szCs w:val="24"/>
              </w:rPr>
              <w:t>X</w:t>
            </w:r>
          </w:p>
        </w:tc>
      </w:tr>
    </w:tbl>
    <w:p w:rsidR="00AF713E" w:rsidRPr="008109CB" w:rsidRDefault="00AF713E" w:rsidP="00AF713E">
      <w:pPr>
        <w:tabs>
          <w:tab w:val="left" w:pos="7827"/>
        </w:tabs>
        <w:rPr>
          <w:rFonts w:ascii="Arial" w:hAnsi="Arial" w:cs="Arial"/>
        </w:rPr>
      </w:pPr>
    </w:p>
    <w:p w:rsidR="00AF713E" w:rsidRPr="008109CB" w:rsidRDefault="00AF713E" w:rsidP="00AF713E">
      <w:pPr>
        <w:tabs>
          <w:tab w:val="left" w:pos="7827"/>
        </w:tabs>
        <w:rPr>
          <w:rFonts w:ascii="Arial" w:hAnsi="Arial" w:cs="Arial"/>
        </w:rPr>
      </w:pPr>
      <w:r w:rsidRPr="008109CB">
        <w:rPr>
          <w:rFonts w:ascii="Arial" w:hAnsi="Arial" w:cs="Arial"/>
        </w:rPr>
        <w:t>How the Matrix Develops the Discussion Section of the Literature Review</w:t>
      </w:r>
    </w:p>
    <w:p w:rsidR="00AF713E" w:rsidRPr="008109CB" w:rsidRDefault="00AF713E" w:rsidP="00AF713E">
      <w:pPr>
        <w:tabs>
          <w:tab w:val="left" w:pos="7827"/>
        </w:tabs>
        <w:rPr>
          <w:rFonts w:ascii="Arial" w:hAnsi="Arial" w:cs="Arial"/>
        </w:rPr>
      </w:pPr>
    </w:p>
    <w:tbl>
      <w:tblPr>
        <w:tblStyle w:val="TableGrid"/>
        <w:tblW w:w="0" w:type="auto"/>
        <w:tblLook w:val="04A0" w:firstRow="1" w:lastRow="0" w:firstColumn="1" w:lastColumn="0" w:noHBand="0" w:noVBand="1"/>
        <w:tblCaption w:val="Outline "/>
        <w:tblDescription w:val="This graphic represents an outline example. "/>
      </w:tblPr>
      <w:tblGrid>
        <w:gridCol w:w="9350"/>
      </w:tblGrid>
      <w:tr w:rsidR="00AF713E" w:rsidRPr="00A077D9" w:rsidTr="00A077D9">
        <w:trPr>
          <w:tblHeader/>
        </w:trPr>
        <w:tc>
          <w:tcPr>
            <w:tcW w:w="11304" w:type="dxa"/>
          </w:tcPr>
          <w:p w:rsidR="00AF713E" w:rsidRPr="00A077D9" w:rsidRDefault="00AF713E" w:rsidP="00224A5A">
            <w:pPr>
              <w:jc w:val="center"/>
              <w:rPr>
                <w:rStyle w:val="SubtleEmphasis"/>
              </w:rPr>
            </w:pPr>
            <w:r w:rsidRPr="00A077D9">
              <w:rPr>
                <w:rStyle w:val="SubtleEmphasis"/>
              </w:rPr>
              <w:t>The Flipped Classroom in Radiologic Science Education (Title of the Paper)</w:t>
            </w:r>
          </w:p>
          <w:p w:rsidR="00AF713E" w:rsidRPr="00A077D9" w:rsidRDefault="00AF713E" w:rsidP="00224A5A">
            <w:pPr>
              <w:jc w:val="center"/>
              <w:rPr>
                <w:rStyle w:val="SubtleEmphasis"/>
              </w:rPr>
            </w:pPr>
          </w:p>
          <w:p w:rsidR="00AF713E" w:rsidRPr="00A077D9" w:rsidRDefault="00AF713E" w:rsidP="00224A5A">
            <w:pPr>
              <w:jc w:val="center"/>
              <w:rPr>
                <w:rStyle w:val="SubtleEmphasis"/>
              </w:rPr>
            </w:pPr>
            <w:r w:rsidRPr="00A077D9">
              <w:rPr>
                <w:rStyle w:val="SubtleEmphasis"/>
              </w:rPr>
              <w:t>Students’ Perceptions</w:t>
            </w:r>
          </w:p>
          <w:p w:rsidR="00AF713E" w:rsidRPr="00A077D9" w:rsidRDefault="00AF713E" w:rsidP="00224A5A">
            <w:pPr>
              <w:jc w:val="center"/>
              <w:rPr>
                <w:rStyle w:val="SubtleEmphasis"/>
              </w:rPr>
            </w:pPr>
            <w:r w:rsidRPr="00A077D9">
              <w:rPr>
                <w:rStyle w:val="SubtleEmphasis"/>
              </w:rPr>
              <w:t>(First Major Header of the Discussion Section = Level 1 Heading)</w:t>
            </w:r>
          </w:p>
          <w:p w:rsidR="00AF713E" w:rsidRPr="00A077D9" w:rsidRDefault="00AF713E" w:rsidP="00224A5A">
            <w:pPr>
              <w:jc w:val="center"/>
              <w:rPr>
                <w:rStyle w:val="SubtleEmphasis"/>
              </w:rPr>
            </w:pPr>
          </w:p>
          <w:p w:rsidR="00AF713E" w:rsidRPr="00A077D9" w:rsidRDefault="00AF713E" w:rsidP="00224A5A">
            <w:pPr>
              <w:rPr>
                <w:rStyle w:val="SubtleEmphasis"/>
              </w:rPr>
            </w:pPr>
            <w:r w:rsidRPr="00A077D9">
              <w:rPr>
                <w:rStyle w:val="SubtleEmphasis"/>
              </w:rPr>
              <w:t>Active Engagement (Clark &amp; Watts, 2015; Killion et al., 2014; Watts, 2016)</w:t>
            </w:r>
          </w:p>
          <w:p w:rsidR="00AF713E" w:rsidRPr="00A077D9" w:rsidRDefault="00AF713E" w:rsidP="00224A5A">
            <w:pPr>
              <w:rPr>
                <w:rStyle w:val="SubtleEmphasis"/>
              </w:rPr>
            </w:pPr>
            <w:r w:rsidRPr="00A077D9">
              <w:rPr>
                <w:rStyle w:val="SubtleEmphasis"/>
              </w:rPr>
              <w:t xml:space="preserve">(First </w:t>
            </w:r>
            <w:proofErr w:type="spellStart"/>
            <w:r w:rsidRPr="00A077D9">
              <w:rPr>
                <w:rStyle w:val="SubtleEmphasis"/>
              </w:rPr>
              <w:t>Subheader</w:t>
            </w:r>
            <w:proofErr w:type="spellEnd"/>
            <w:r w:rsidRPr="00A077D9">
              <w:rPr>
                <w:rStyle w:val="SubtleEmphasis"/>
              </w:rPr>
              <w:t xml:space="preserve"> for Students’ Perceptions = Level 2 Heading)</w:t>
            </w:r>
          </w:p>
          <w:p w:rsidR="00AF713E" w:rsidRPr="00A077D9" w:rsidRDefault="00AF713E" w:rsidP="00224A5A">
            <w:pPr>
              <w:rPr>
                <w:rStyle w:val="SubtleEmphasis"/>
              </w:rPr>
            </w:pPr>
          </w:p>
          <w:p w:rsidR="00AF713E" w:rsidRPr="00A077D9" w:rsidRDefault="00AF713E" w:rsidP="00224A5A">
            <w:pPr>
              <w:rPr>
                <w:rStyle w:val="SubtleEmphasis"/>
              </w:rPr>
            </w:pPr>
            <w:r w:rsidRPr="00A077D9">
              <w:rPr>
                <w:rStyle w:val="SubtleEmphasis"/>
              </w:rPr>
              <w:t>Hands-on Learning (Johnston, 2014; Sanders &amp; Wynne, 2015)</w:t>
            </w:r>
          </w:p>
          <w:p w:rsidR="00AF713E" w:rsidRPr="00A077D9" w:rsidRDefault="00AF713E" w:rsidP="00224A5A">
            <w:pPr>
              <w:rPr>
                <w:rStyle w:val="SubtleEmphasis"/>
              </w:rPr>
            </w:pPr>
            <w:r w:rsidRPr="00A077D9">
              <w:rPr>
                <w:rStyle w:val="SubtleEmphasis"/>
              </w:rPr>
              <w:t xml:space="preserve">(Second </w:t>
            </w:r>
            <w:proofErr w:type="spellStart"/>
            <w:r w:rsidRPr="00A077D9">
              <w:rPr>
                <w:rStyle w:val="SubtleEmphasis"/>
              </w:rPr>
              <w:t>Subheader</w:t>
            </w:r>
            <w:proofErr w:type="spellEnd"/>
            <w:r w:rsidRPr="00A077D9">
              <w:rPr>
                <w:rStyle w:val="SubtleEmphasis"/>
              </w:rPr>
              <w:t xml:space="preserve"> for Students’ Perceptions = Level 2 Heading)</w:t>
            </w:r>
          </w:p>
          <w:p w:rsidR="00AF713E" w:rsidRPr="00A077D9" w:rsidRDefault="00AF713E" w:rsidP="00224A5A">
            <w:pPr>
              <w:rPr>
                <w:rStyle w:val="SubtleEmphasis"/>
              </w:rPr>
            </w:pPr>
          </w:p>
          <w:p w:rsidR="00AF713E" w:rsidRPr="00A077D9" w:rsidRDefault="00AF713E" w:rsidP="00224A5A">
            <w:pPr>
              <w:jc w:val="center"/>
              <w:rPr>
                <w:rStyle w:val="SubtleEmphasis"/>
              </w:rPr>
            </w:pPr>
            <w:r w:rsidRPr="00A077D9">
              <w:rPr>
                <w:rStyle w:val="SubtleEmphasis"/>
              </w:rPr>
              <w:t>Instructor Responsibilities</w:t>
            </w:r>
          </w:p>
          <w:p w:rsidR="00AF713E" w:rsidRPr="00A077D9" w:rsidRDefault="00AF713E" w:rsidP="00224A5A">
            <w:pPr>
              <w:jc w:val="center"/>
              <w:rPr>
                <w:rStyle w:val="SubtleEmphasis"/>
              </w:rPr>
            </w:pPr>
            <w:r w:rsidRPr="00A077D9">
              <w:rPr>
                <w:rStyle w:val="SubtleEmphasis"/>
              </w:rPr>
              <w:t>(Second Major Header of the Discussion Section = Level 1 Heading)</w:t>
            </w:r>
          </w:p>
          <w:p w:rsidR="00AF713E" w:rsidRPr="00A077D9" w:rsidRDefault="00AF713E" w:rsidP="00224A5A">
            <w:pPr>
              <w:jc w:val="center"/>
              <w:rPr>
                <w:rStyle w:val="SubtleEmphasis"/>
              </w:rPr>
            </w:pPr>
          </w:p>
          <w:p w:rsidR="00AF713E" w:rsidRPr="00A077D9" w:rsidRDefault="00AF713E" w:rsidP="00224A5A">
            <w:pPr>
              <w:rPr>
                <w:rStyle w:val="SubtleEmphasis"/>
              </w:rPr>
            </w:pPr>
            <w:r w:rsidRPr="00A077D9">
              <w:rPr>
                <w:rStyle w:val="SubtleEmphasis"/>
              </w:rPr>
              <w:t>Technology Considerations (Johnston, 2014; Killion et al., 2014; Sanders &amp; Wynne, 2015)</w:t>
            </w:r>
          </w:p>
          <w:p w:rsidR="00AF713E" w:rsidRPr="00A077D9" w:rsidRDefault="00AF713E" w:rsidP="00224A5A">
            <w:pPr>
              <w:rPr>
                <w:rStyle w:val="SubtleEmphasis"/>
              </w:rPr>
            </w:pPr>
            <w:r w:rsidRPr="00A077D9">
              <w:rPr>
                <w:rStyle w:val="SubtleEmphasis"/>
              </w:rPr>
              <w:t xml:space="preserve">(First </w:t>
            </w:r>
            <w:proofErr w:type="spellStart"/>
            <w:r w:rsidRPr="00A077D9">
              <w:rPr>
                <w:rStyle w:val="SubtleEmphasis"/>
              </w:rPr>
              <w:t>Subheader</w:t>
            </w:r>
            <w:proofErr w:type="spellEnd"/>
            <w:r w:rsidRPr="00A077D9">
              <w:rPr>
                <w:rStyle w:val="SubtleEmphasis"/>
              </w:rPr>
              <w:t xml:space="preserve"> for Instructor Responsibilities = Level 2 Heading)</w:t>
            </w:r>
          </w:p>
          <w:p w:rsidR="00AF713E" w:rsidRPr="00A077D9" w:rsidRDefault="00AF713E" w:rsidP="00224A5A">
            <w:pPr>
              <w:rPr>
                <w:rStyle w:val="SubtleEmphasis"/>
              </w:rPr>
            </w:pPr>
          </w:p>
          <w:p w:rsidR="00AF713E" w:rsidRPr="00A077D9" w:rsidRDefault="00AF713E" w:rsidP="00224A5A">
            <w:pPr>
              <w:rPr>
                <w:rStyle w:val="SubtleEmphasis"/>
              </w:rPr>
            </w:pPr>
            <w:r w:rsidRPr="00A077D9">
              <w:rPr>
                <w:rStyle w:val="SubtleEmphasis"/>
              </w:rPr>
              <w:t>Opportunities and Obstacles (Clark &amp; Watts, 2015; Onstott, Fischer, &amp; Killion, 2015; Watts, 2016)</w:t>
            </w:r>
          </w:p>
          <w:p w:rsidR="00AF713E" w:rsidRPr="00A077D9" w:rsidRDefault="00AF713E" w:rsidP="00224A5A">
            <w:pPr>
              <w:rPr>
                <w:rStyle w:val="SubtleEmphasis"/>
              </w:rPr>
            </w:pPr>
            <w:r w:rsidRPr="00A077D9">
              <w:rPr>
                <w:rStyle w:val="SubtleEmphasis"/>
              </w:rPr>
              <w:t xml:space="preserve">(Second </w:t>
            </w:r>
            <w:proofErr w:type="spellStart"/>
            <w:r w:rsidRPr="00A077D9">
              <w:rPr>
                <w:rStyle w:val="SubtleEmphasis"/>
              </w:rPr>
              <w:t>Subheader</w:t>
            </w:r>
            <w:proofErr w:type="spellEnd"/>
            <w:r w:rsidRPr="00A077D9">
              <w:rPr>
                <w:rStyle w:val="SubtleEmphasis"/>
              </w:rPr>
              <w:t xml:space="preserve"> for Instructor Responsibilities = Level 2 Heading)</w:t>
            </w:r>
          </w:p>
          <w:p w:rsidR="00AF713E" w:rsidRPr="00A077D9" w:rsidRDefault="00AF713E" w:rsidP="00224A5A">
            <w:pPr>
              <w:rPr>
                <w:rStyle w:val="SubtleEmphasis"/>
              </w:rPr>
            </w:pPr>
          </w:p>
          <w:p w:rsidR="00AF713E" w:rsidRPr="00A077D9" w:rsidRDefault="00AF713E" w:rsidP="00224A5A">
            <w:pPr>
              <w:jc w:val="center"/>
              <w:rPr>
                <w:rStyle w:val="SubtleEmphasis"/>
              </w:rPr>
            </w:pPr>
            <w:r w:rsidRPr="00A077D9">
              <w:rPr>
                <w:rStyle w:val="SubtleEmphasis"/>
              </w:rPr>
              <w:t>Implications in Radiologic Science Education</w:t>
            </w:r>
          </w:p>
          <w:p w:rsidR="00AF713E" w:rsidRPr="00A077D9" w:rsidRDefault="00AF713E" w:rsidP="00224A5A">
            <w:pPr>
              <w:jc w:val="center"/>
              <w:rPr>
                <w:rStyle w:val="SubtleEmphasis"/>
              </w:rPr>
            </w:pPr>
            <w:r w:rsidRPr="00A077D9">
              <w:rPr>
                <w:rStyle w:val="SubtleEmphasis"/>
              </w:rPr>
              <w:t>(Third Major Header of the Discussion Section = Level 1 Heading)</w:t>
            </w:r>
          </w:p>
          <w:p w:rsidR="00AF713E" w:rsidRPr="00A077D9" w:rsidRDefault="00AF713E" w:rsidP="00224A5A">
            <w:pPr>
              <w:jc w:val="center"/>
              <w:rPr>
                <w:rStyle w:val="SubtleEmphasis"/>
              </w:rPr>
            </w:pPr>
          </w:p>
          <w:p w:rsidR="00AF713E" w:rsidRPr="00A077D9" w:rsidRDefault="00AF713E" w:rsidP="00224A5A">
            <w:pPr>
              <w:rPr>
                <w:rStyle w:val="SubtleEmphasis"/>
              </w:rPr>
            </w:pPr>
            <w:r w:rsidRPr="00A077D9">
              <w:rPr>
                <w:rStyle w:val="SubtleEmphasis"/>
              </w:rPr>
              <w:t>Flipping an Imaging Course (Killion et al., 2014; Sanders &amp; Wynne, 2015)</w:t>
            </w:r>
          </w:p>
          <w:p w:rsidR="00AF713E" w:rsidRPr="00A077D9" w:rsidRDefault="00AF713E" w:rsidP="00224A5A">
            <w:pPr>
              <w:rPr>
                <w:rStyle w:val="SubtleEmphasis"/>
              </w:rPr>
            </w:pPr>
            <w:r w:rsidRPr="00A077D9">
              <w:rPr>
                <w:rStyle w:val="SubtleEmphasis"/>
              </w:rPr>
              <w:t xml:space="preserve">(First </w:t>
            </w:r>
            <w:proofErr w:type="spellStart"/>
            <w:r w:rsidRPr="00A077D9">
              <w:rPr>
                <w:rStyle w:val="SubtleEmphasis"/>
              </w:rPr>
              <w:t>Subheader</w:t>
            </w:r>
            <w:proofErr w:type="spellEnd"/>
            <w:r w:rsidRPr="00A077D9">
              <w:rPr>
                <w:rStyle w:val="SubtleEmphasis"/>
              </w:rPr>
              <w:t xml:space="preserve"> for Implications in Radiologic Science Education = Level 2 Heading)</w:t>
            </w:r>
          </w:p>
        </w:tc>
      </w:tr>
    </w:tbl>
    <w:p w:rsidR="00F82897" w:rsidRPr="008109CB" w:rsidRDefault="00F82897" w:rsidP="00F82897">
      <w:pPr>
        <w:rPr>
          <w:rFonts w:ascii="Arial" w:hAnsi="Arial" w:cs="Arial"/>
        </w:rPr>
      </w:pPr>
    </w:p>
    <w:p w:rsidR="00F82897" w:rsidRPr="008109CB" w:rsidRDefault="00F82897" w:rsidP="008109CB">
      <w:pPr>
        <w:pStyle w:val="Heading2"/>
        <w:rPr>
          <w:rFonts w:ascii="Arial" w:hAnsi="Arial" w:cs="Arial"/>
          <w:color w:val="auto"/>
        </w:rPr>
      </w:pPr>
    </w:p>
    <w:p w:rsidR="002F3964" w:rsidRDefault="00F82897" w:rsidP="002F3964">
      <w:pPr>
        <w:pStyle w:val="Heading2"/>
        <w:rPr>
          <w:rFonts w:ascii="Arial" w:hAnsi="Arial" w:cs="Arial"/>
          <w:b/>
          <w:color w:val="auto"/>
        </w:rPr>
      </w:pPr>
      <w:r w:rsidRPr="008109CB">
        <w:rPr>
          <w:rFonts w:ascii="Arial" w:hAnsi="Arial" w:cs="Arial"/>
          <w:b/>
          <w:color w:val="auto"/>
        </w:rPr>
        <w:t>LATE SUBMISSION OF ASSIGNMENTS</w:t>
      </w:r>
    </w:p>
    <w:p w:rsidR="002F3964" w:rsidRPr="002F3964" w:rsidRDefault="002F3964" w:rsidP="002F3964"/>
    <w:p w:rsidR="002F3964" w:rsidRDefault="00F82897" w:rsidP="002F3964">
      <w:pPr>
        <w:pStyle w:val="NoSpacing"/>
      </w:pPr>
      <w:r w:rsidRPr="002F3964">
        <w:t xml:space="preserve">All assignments have due dates indicated on the course schedule. Due dates are in place to keep students on target for the semester and allow instructors the time to provide detailed, </w:t>
      </w:r>
      <w:r w:rsidRPr="002F3964">
        <w:lastRenderedPageBreak/>
        <w:t>constructive feedback. Assignments not turned in on time will result in a 0 being recorded for that assignment.</w:t>
      </w:r>
    </w:p>
    <w:p w:rsidR="002F3964" w:rsidRDefault="00F82897" w:rsidP="002F3964">
      <w:pPr>
        <w:pStyle w:val="NoSpacing"/>
        <w:rPr>
          <w:rFonts w:ascii="Arial" w:hAnsi="Arial"/>
        </w:rPr>
      </w:pPr>
      <w:r w:rsidRPr="008109CB">
        <w:rPr>
          <w:rFonts w:ascii="Arial" w:hAnsi="Arial"/>
        </w:rPr>
        <w:t xml:space="preserve"> </w:t>
      </w:r>
    </w:p>
    <w:p w:rsidR="00F82897" w:rsidRPr="008109CB" w:rsidRDefault="00F82897" w:rsidP="00F82897">
      <w:pPr>
        <w:rPr>
          <w:rFonts w:ascii="Arial" w:hAnsi="Arial" w:cs="Arial"/>
        </w:rPr>
      </w:pPr>
      <w:r w:rsidRPr="008109CB">
        <w:rPr>
          <w:rFonts w:ascii="Arial" w:hAnsi="Arial" w:cs="Arial"/>
        </w:rPr>
        <w:t>With that being said, the instructors understand students who are enrolled in the MSRS program may be responsible for managing many employees and/or students as well as personal family matters. If students need any assistance regarding a deadline, they must contact the instructors at least two days before the due date to discuss the issue. “After the fact” stories are not accepted and will result in a grade of 0. Emergencies (death, severe illness, etc.) occur so students should contact the instructors as soon as possible to resolve any due date conflicts. Assignment extensions are decided on a case-by-case basis.</w:t>
      </w:r>
    </w:p>
    <w:p w:rsidR="00F82897" w:rsidRPr="008109CB" w:rsidRDefault="00F82897" w:rsidP="00F82897">
      <w:pPr>
        <w:rPr>
          <w:rFonts w:ascii="Arial" w:hAnsi="Arial" w:cs="Arial"/>
        </w:rPr>
      </w:pPr>
    </w:p>
    <w:p w:rsidR="002F3964" w:rsidRDefault="00F82897" w:rsidP="002F3964">
      <w:pPr>
        <w:pStyle w:val="Heading2"/>
        <w:rPr>
          <w:rFonts w:ascii="Arial" w:hAnsi="Arial" w:cs="Arial"/>
          <w:b/>
          <w:color w:val="auto"/>
        </w:rPr>
      </w:pPr>
      <w:r w:rsidRPr="008109CB">
        <w:rPr>
          <w:rFonts w:ascii="Arial" w:hAnsi="Arial" w:cs="Arial"/>
          <w:b/>
          <w:color w:val="auto"/>
        </w:rPr>
        <w:t>INCOMPLETE GRADES</w:t>
      </w:r>
    </w:p>
    <w:p w:rsidR="002F3964" w:rsidRPr="002F3964" w:rsidRDefault="002F3964" w:rsidP="002F3964"/>
    <w:p w:rsidR="00F82897" w:rsidRPr="002F3964" w:rsidRDefault="00F82897" w:rsidP="002F3964">
      <w:pPr>
        <w:pStyle w:val="NoSpacing"/>
      </w:pPr>
      <w:r w:rsidRPr="002F3964">
        <w:t>Incomplete grades are given only at the instructors’ discretion and must be requested by the student. If the instructors grant the incomplete, the student has until 90 days after the beginning of the next regular semester (fall or spring) to complete the course requirements. If the student does not complete the course requirements within this deadline, the grade of incomplete will automatically convert into a grade of F. Please note incomplete grades are given only in an emergency or when there are extenuating circumstances. Refer to the Graduate Catalog for additional details about receiving a grade of incomplete in a course.</w:t>
      </w:r>
    </w:p>
    <w:p w:rsidR="008109CB" w:rsidRPr="008109CB" w:rsidRDefault="008109CB" w:rsidP="008109CB">
      <w:pPr>
        <w:pStyle w:val="Heading2"/>
        <w:rPr>
          <w:b/>
          <w:color w:val="auto"/>
        </w:rPr>
      </w:pPr>
    </w:p>
    <w:p w:rsidR="00F82897" w:rsidRDefault="00F82897" w:rsidP="008109CB">
      <w:pPr>
        <w:pStyle w:val="Heading2"/>
        <w:rPr>
          <w:rFonts w:ascii="Arial" w:hAnsi="Arial" w:cs="Arial"/>
          <w:b/>
          <w:color w:val="auto"/>
        </w:rPr>
      </w:pPr>
      <w:r w:rsidRPr="008109CB">
        <w:rPr>
          <w:rFonts w:ascii="Arial" w:hAnsi="Arial" w:cs="Arial"/>
          <w:b/>
          <w:color w:val="auto"/>
        </w:rPr>
        <w:t>ACADEMIC DISHONESTY</w:t>
      </w:r>
    </w:p>
    <w:p w:rsidR="002F3964" w:rsidRPr="002F3964" w:rsidRDefault="002F3964" w:rsidP="002F3964"/>
    <w:p w:rsidR="00F82897" w:rsidRDefault="00F82897" w:rsidP="00F82897">
      <w:pPr>
        <w:rPr>
          <w:rFonts w:ascii="Arial" w:hAnsi="Arial" w:cs="Arial"/>
        </w:rPr>
      </w:pPr>
      <w:r w:rsidRPr="008109CB">
        <w:rPr>
          <w:rFonts w:ascii="Arial" w:hAnsi="Arial" w:cs="Arial"/>
        </w:rPr>
        <w:t>This course adheres to the MSU Code of Student Conduct. In particular, academic dishonesty, however small, creates a breach in academic integrity. A student’s participation in this course comes with the expectation that his or her work will be completed in full observance of the MSU Code of Student Conduct. Students should consult the MSU Student Handbook for answers to any questions about the code of conduct.</w:t>
      </w:r>
    </w:p>
    <w:p w:rsidR="002F3964" w:rsidRPr="008109CB" w:rsidRDefault="002F3964" w:rsidP="00F82897">
      <w:pPr>
        <w:rPr>
          <w:rFonts w:ascii="Arial" w:hAnsi="Arial" w:cs="Arial"/>
        </w:rPr>
      </w:pPr>
    </w:p>
    <w:p w:rsidR="00F82897" w:rsidRPr="008109CB" w:rsidRDefault="00F82897" w:rsidP="00F82897">
      <w:pPr>
        <w:rPr>
          <w:rFonts w:ascii="Arial" w:hAnsi="Arial" w:cs="Arial"/>
        </w:rPr>
      </w:pPr>
      <w:r w:rsidRPr="008109CB">
        <w:rPr>
          <w:rFonts w:ascii="Arial" w:hAnsi="Arial" w:cs="Arial"/>
        </w:rPr>
        <w:t>Some components of this course are designed to be highly interactive with students helping each other learn; however, all assignments are designed to represent the efforts of each student individually and not to be shared. When students submit their efforts for grading, they are attesting they have abided by this rule.</w:t>
      </w:r>
    </w:p>
    <w:p w:rsidR="00F82897" w:rsidRPr="008109CB" w:rsidRDefault="00F82897" w:rsidP="00F82897">
      <w:pPr>
        <w:rPr>
          <w:rFonts w:ascii="Arial" w:hAnsi="Arial" w:cs="Arial"/>
        </w:rPr>
      </w:pPr>
    </w:p>
    <w:p w:rsidR="00F82897" w:rsidRDefault="00F82897" w:rsidP="008109CB">
      <w:pPr>
        <w:pStyle w:val="Heading2"/>
        <w:rPr>
          <w:rFonts w:ascii="Arial" w:hAnsi="Arial" w:cs="Arial"/>
          <w:b/>
          <w:color w:val="auto"/>
        </w:rPr>
      </w:pPr>
      <w:r w:rsidRPr="008109CB">
        <w:rPr>
          <w:rFonts w:ascii="Arial" w:hAnsi="Arial" w:cs="Arial"/>
          <w:b/>
          <w:color w:val="auto"/>
        </w:rPr>
        <w:t>PLAGIARISM</w:t>
      </w:r>
    </w:p>
    <w:p w:rsidR="002F3964" w:rsidRPr="002F3964" w:rsidRDefault="002F3964" w:rsidP="002F3964"/>
    <w:p w:rsidR="00F82897" w:rsidRPr="008109CB" w:rsidRDefault="00F82897" w:rsidP="00F82897">
      <w:pPr>
        <w:rPr>
          <w:rFonts w:ascii="Arial" w:hAnsi="Arial" w:cs="Arial"/>
        </w:rPr>
      </w:pPr>
      <w:r w:rsidRPr="008109CB">
        <w:rPr>
          <w:rFonts w:ascii="Arial" w:hAnsi="Arial" w:cs="Arial"/>
          <w:i/>
        </w:rPr>
        <w:t xml:space="preserve">Plagiarism is not tolerated in this course whether intentional or not. </w:t>
      </w:r>
      <w:r w:rsidRPr="008109CB">
        <w:rPr>
          <w:rFonts w:ascii="Arial" w:hAnsi="Arial" w:cs="Arial"/>
        </w:rPr>
        <w:t xml:space="preserve">By enrolling in this course, the student expressly grants MSU a </w:t>
      </w:r>
      <w:r w:rsidRPr="008109CB">
        <w:rPr>
          <w:rFonts w:ascii="Arial" w:hAnsi="Arial" w:cs="Arial"/>
          <w:i/>
        </w:rPr>
        <w:t>limited right</w:t>
      </w:r>
      <w:r w:rsidRPr="008109CB">
        <w:rPr>
          <w:rFonts w:ascii="Arial" w:hAnsi="Arial" w:cs="Arial"/>
        </w:rPr>
        <w:t xml:space="preserve"> in all intellectual property created by the student for the purpose of this course. The </w:t>
      </w:r>
      <w:r w:rsidRPr="008109CB">
        <w:rPr>
          <w:rFonts w:ascii="Arial" w:hAnsi="Arial" w:cs="Arial"/>
          <w:i/>
        </w:rPr>
        <w:t xml:space="preserve">limited right </w:t>
      </w:r>
      <w:r w:rsidRPr="008109CB">
        <w:rPr>
          <w:rFonts w:ascii="Arial" w:hAnsi="Arial" w:cs="Arial"/>
        </w:rPr>
        <w:t>includes but not limited to the right to reproduce the students work product to verify originality and authenticity and for educational purposes.</w:t>
      </w:r>
    </w:p>
    <w:p w:rsidR="00F82897" w:rsidRPr="008109CB" w:rsidRDefault="00F82897" w:rsidP="008109CB">
      <w:pPr>
        <w:pStyle w:val="Heading2"/>
        <w:rPr>
          <w:rFonts w:ascii="Arial" w:hAnsi="Arial" w:cs="Arial"/>
          <w:color w:val="auto"/>
        </w:rPr>
      </w:pPr>
    </w:p>
    <w:p w:rsidR="002F3964" w:rsidRDefault="00F82897" w:rsidP="002F3964">
      <w:pPr>
        <w:pStyle w:val="Heading2"/>
        <w:rPr>
          <w:rFonts w:ascii="Arial" w:hAnsi="Arial" w:cs="Arial"/>
          <w:b/>
          <w:color w:val="auto"/>
        </w:rPr>
      </w:pPr>
      <w:r w:rsidRPr="008109CB">
        <w:rPr>
          <w:rFonts w:ascii="Arial" w:hAnsi="Arial" w:cs="Arial"/>
          <w:b/>
          <w:color w:val="auto"/>
        </w:rPr>
        <w:t>SPECIAL NEEDS</w:t>
      </w:r>
    </w:p>
    <w:p w:rsidR="002F3964" w:rsidRDefault="002F3964" w:rsidP="002F3964">
      <w:pPr>
        <w:pStyle w:val="Heading2"/>
        <w:rPr>
          <w:rFonts w:ascii="Arial" w:hAnsi="Arial" w:cs="Arial"/>
          <w:b/>
          <w:color w:val="auto"/>
        </w:rPr>
      </w:pPr>
    </w:p>
    <w:p w:rsidR="00F82897" w:rsidRPr="002F3964" w:rsidRDefault="00F82897" w:rsidP="002F3964">
      <w:pPr>
        <w:pStyle w:val="NoSpacing"/>
      </w:pPr>
      <w:r w:rsidRPr="002F3964">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(940) 397-4140. Documentation of disability from a competent professional is required.</w:t>
      </w:r>
    </w:p>
    <w:p w:rsidR="00F82897" w:rsidRPr="008109CB" w:rsidRDefault="00F82897" w:rsidP="00F82897">
      <w:pPr>
        <w:rPr>
          <w:rFonts w:ascii="Arial" w:hAnsi="Arial" w:cs="Arial"/>
        </w:rPr>
      </w:pPr>
    </w:p>
    <w:p w:rsidR="002F3964" w:rsidRDefault="00F82897" w:rsidP="002F3964">
      <w:pPr>
        <w:pStyle w:val="Heading2"/>
        <w:rPr>
          <w:rFonts w:ascii="Arial" w:hAnsi="Arial" w:cs="Arial"/>
          <w:b/>
          <w:color w:val="auto"/>
        </w:rPr>
      </w:pPr>
      <w:r w:rsidRPr="008109CB">
        <w:rPr>
          <w:rFonts w:ascii="Arial" w:hAnsi="Arial" w:cs="Arial"/>
          <w:b/>
          <w:color w:val="auto"/>
        </w:rPr>
        <w:t>GRADUATE COMPETENCIES</w:t>
      </w:r>
    </w:p>
    <w:p w:rsidR="002F3964" w:rsidRPr="002F3964" w:rsidRDefault="002F3964" w:rsidP="002F3964"/>
    <w:p w:rsidR="00F82897" w:rsidRPr="002F3964" w:rsidRDefault="00F82897" w:rsidP="002F3964">
      <w:pPr>
        <w:pStyle w:val="Heading2"/>
        <w:rPr>
          <w:rFonts w:ascii="Arial" w:hAnsi="Arial" w:cs="Arial"/>
          <w:color w:val="auto"/>
          <w:sz w:val="24"/>
          <w:szCs w:val="24"/>
        </w:rPr>
      </w:pPr>
      <w:r w:rsidRPr="002F3964">
        <w:rPr>
          <w:rFonts w:ascii="Arial" w:hAnsi="Arial" w:cs="Arial"/>
          <w:color w:val="auto"/>
          <w:sz w:val="24"/>
          <w:szCs w:val="24"/>
        </w:rPr>
        <w:t>Graduates of the MSRS program should be able to:</w:t>
      </w:r>
    </w:p>
    <w:p w:rsidR="00F82897" w:rsidRPr="008109CB" w:rsidRDefault="00F82897" w:rsidP="00F82897">
      <w:pPr>
        <w:pStyle w:val="ListParagraph"/>
        <w:numPr>
          <w:ilvl w:val="0"/>
          <w:numId w:val="2"/>
        </w:numPr>
        <w:rPr>
          <w:rFonts w:ascii="Arial" w:hAnsi="Arial" w:cs="Arial"/>
        </w:rPr>
      </w:pPr>
      <w:r w:rsidRPr="008109CB">
        <w:rPr>
          <w:rFonts w:ascii="Arial" w:hAnsi="Arial" w:cs="Arial"/>
        </w:rPr>
        <w:t>Use knowledge of current and future trends and well-developed skills to lead a medical imaging department, teach in a radiologic sciences program, or perform advanced clinical procedures.</w:t>
      </w:r>
    </w:p>
    <w:p w:rsidR="00F82897" w:rsidRPr="008109CB" w:rsidRDefault="00F82897" w:rsidP="00F82897">
      <w:pPr>
        <w:pStyle w:val="ListParagraph"/>
        <w:numPr>
          <w:ilvl w:val="0"/>
          <w:numId w:val="2"/>
        </w:numPr>
        <w:rPr>
          <w:rFonts w:ascii="Arial" w:hAnsi="Arial" w:cs="Arial"/>
        </w:rPr>
      </w:pPr>
      <w:r w:rsidRPr="008109CB">
        <w:rPr>
          <w:rFonts w:ascii="Arial" w:hAnsi="Arial" w:cs="Arial"/>
        </w:rPr>
        <w:t>Use critical thinking strategies and communication skills to develop an ethical and legal framework for the resolution of concerns and issues in radiologic administration, education, or advanced clinical practice.</w:t>
      </w:r>
    </w:p>
    <w:p w:rsidR="00F82897" w:rsidRPr="008109CB" w:rsidRDefault="00F82897" w:rsidP="00F82897">
      <w:pPr>
        <w:pStyle w:val="ListParagraph"/>
        <w:numPr>
          <w:ilvl w:val="0"/>
          <w:numId w:val="2"/>
        </w:numPr>
        <w:rPr>
          <w:rFonts w:ascii="Arial" w:hAnsi="Arial" w:cs="Arial"/>
        </w:rPr>
      </w:pPr>
      <w:r w:rsidRPr="008109CB">
        <w:rPr>
          <w:rFonts w:ascii="Arial" w:hAnsi="Arial" w:cs="Arial"/>
        </w:rPr>
        <w:t>Demonstrate leadership skills and knowledge of the political process to effect change within administration, education, or advanced clinical practice settings.</w:t>
      </w:r>
    </w:p>
    <w:p w:rsidR="00F82897" w:rsidRPr="008109CB" w:rsidRDefault="00F82897" w:rsidP="00F82897">
      <w:pPr>
        <w:pStyle w:val="ListParagraph"/>
        <w:numPr>
          <w:ilvl w:val="0"/>
          <w:numId w:val="2"/>
        </w:numPr>
        <w:rPr>
          <w:rFonts w:ascii="Arial" w:hAnsi="Arial" w:cs="Arial"/>
        </w:rPr>
      </w:pPr>
      <w:r w:rsidRPr="008109CB">
        <w:rPr>
          <w:rFonts w:ascii="Arial" w:hAnsi="Arial" w:cs="Arial"/>
        </w:rPr>
        <w:t>Evaluate, design, and conduct research studies for the improvement of radiologic science administration, education, or advanced clinical practice.</w:t>
      </w:r>
    </w:p>
    <w:p w:rsidR="00F82897" w:rsidRPr="008109CB" w:rsidRDefault="00F82897" w:rsidP="00F82897">
      <w:pPr>
        <w:pStyle w:val="ListParagraph"/>
        <w:numPr>
          <w:ilvl w:val="0"/>
          <w:numId w:val="3"/>
        </w:numPr>
        <w:rPr>
          <w:rFonts w:ascii="Arial" w:hAnsi="Arial" w:cs="Arial"/>
        </w:rPr>
      </w:pPr>
      <w:r w:rsidRPr="008109CB">
        <w:rPr>
          <w:rFonts w:ascii="Arial" w:hAnsi="Arial" w:cs="Arial"/>
        </w:rPr>
        <w:t>Demonstrate a sound academic foundation to support lifelong learning and to prepare for future matriculation in post-master or doctoral programs.</w:t>
      </w:r>
    </w:p>
    <w:p w:rsidR="00F82897" w:rsidRPr="008109CB" w:rsidRDefault="00F82897" w:rsidP="00F82897">
      <w:pPr>
        <w:rPr>
          <w:rFonts w:ascii="Arial" w:hAnsi="Arial" w:cs="Arial"/>
        </w:rPr>
      </w:pPr>
    </w:p>
    <w:p w:rsidR="002F3964" w:rsidRDefault="00F82897" w:rsidP="002F3964">
      <w:pPr>
        <w:pStyle w:val="Heading2"/>
        <w:rPr>
          <w:rFonts w:ascii="Arial" w:hAnsi="Arial" w:cs="Arial"/>
          <w:b/>
          <w:color w:val="auto"/>
        </w:rPr>
      </w:pPr>
      <w:r w:rsidRPr="008109CB">
        <w:rPr>
          <w:rFonts w:ascii="Arial" w:hAnsi="Arial" w:cs="Arial"/>
          <w:b/>
          <w:color w:val="auto"/>
        </w:rPr>
        <w:t>ADMINISTRATIVE PROCESS</w:t>
      </w:r>
    </w:p>
    <w:p w:rsidR="002F3964" w:rsidRDefault="002F3964" w:rsidP="002F3964">
      <w:pPr>
        <w:pStyle w:val="Heading2"/>
        <w:rPr>
          <w:rFonts w:ascii="Arial" w:hAnsi="Arial" w:cs="Arial"/>
          <w:b/>
          <w:color w:val="auto"/>
        </w:rPr>
      </w:pPr>
    </w:p>
    <w:p w:rsidR="002F3964" w:rsidRDefault="00F82897" w:rsidP="00FE09E1">
      <w:pPr>
        <w:pStyle w:val="NoSpacing"/>
      </w:pPr>
      <w:r w:rsidRPr="002F3964">
        <w:t>Unresolved issues related to this course should be first addressed between the student and the course instructors. If there is no resolution, students must follow this sequence:</w:t>
      </w:r>
    </w:p>
    <w:p w:rsidR="00FE09E1" w:rsidRPr="00FE09E1" w:rsidRDefault="00FE09E1" w:rsidP="00FE09E1">
      <w:pPr>
        <w:pStyle w:val="NoSpacing"/>
      </w:pPr>
    </w:p>
    <w:p w:rsidR="00F82897" w:rsidRPr="008109CB" w:rsidRDefault="00FE09E1" w:rsidP="00F82897">
      <w:pPr>
        <w:rPr>
          <w:rFonts w:ascii="Arial" w:hAnsi="Arial" w:cs="Arial"/>
        </w:rPr>
      </w:pPr>
      <w:r>
        <w:rPr>
          <w:rFonts w:ascii="Arial" w:hAnsi="Arial" w:cs="Arial"/>
        </w:rPr>
        <w:t xml:space="preserve">Interim </w:t>
      </w:r>
      <w:r w:rsidR="00F82897" w:rsidRPr="008109CB">
        <w:rPr>
          <w:rFonts w:ascii="Arial" w:hAnsi="Arial" w:cs="Arial"/>
        </w:rPr>
        <w:t xml:space="preserve">Department Chair – </w:t>
      </w:r>
      <w:r>
        <w:rPr>
          <w:rFonts w:ascii="Arial" w:hAnsi="Arial" w:cs="Arial"/>
        </w:rPr>
        <w:t>Dr. Beth Veale’ (940) 397.4611</w:t>
      </w:r>
    </w:p>
    <w:p w:rsidR="00F82897" w:rsidRPr="008109CB" w:rsidRDefault="00F82897" w:rsidP="00F82897">
      <w:pPr>
        <w:rPr>
          <w:rFonts w:ascii="Arial" w:hAnsi="Arial" w:cs="Arial"/>
        </w:rPr>
      </w:pPr>
      <w:r w:rsidRPr="008109CB">
        <w:rPr>
          <w:rFonts w:ascii="Arial" w:hAnsi="Arial" w:cs="Arial"/>
        </w:rPr>
        <w:t>College Dean – Dr. Jeff Killion (940) 397.4594</w:t>
      </w:r>
    </w:p>
    <w:p w:rsidR="00F82897" w:rsidRPr="008109CB" w:rsidRDefault="00F82897" w:rsidP="00F82897">
      <w:pPr>
        <w:rPr>
          <w:rFonts w:ascii="Arial" w:hAnsi="Arial" w:cs="Arial"/>
        </w:rPr>
      </w:pPr>
      <w:r w:rsidRPr="008109CB">
        <w:rPr>
          <w:rFonts w:ascii="Arial" w:hAnsi="Arial" w:cs="Arial"/>
        </w:rPr>
        <w:t>Dean of Students – Mr. Matthew Park (940) 397.7500</w:t>
      </w:r>
    </w:p>
    <w:p w:rsidR="00F82897" w:rsidRPr="008109CB" w:rsidRDefault="00F82897" w:rsidP="00F82897">
      <w:pPr>
        <w:rPr>
          <w:rFonts w:ascii="Arial" w:hAnsi="Arial" w:cs="Arial"/>
        </w:rPr>
      </w:pPr>
    </w:p>
    <w:p w:rsidR="002F3964" w:rsidRDefault="00F82897" w:rsidP="002F3964">
      <w:pPr>
        <w:pStyle w:val="Heading2"/>
        <w:rPr>
          <w:rFonts w:ascii="Arial" w:hAnsi="Arial" w:cs="Arial"/>
          <w:b/>
          <w:color w:val="auto"/>
        </w:rPr>
      </w:pPr>
      <w:r w:rsidRPr="008109CB">
        <w:rPr>
          <w:rFonts w:ascii="Arial" w:hAnsi="Arial" w:cs="Arial"/>
          <w:b/>
          <w:color w:val="auto"/>
        </w:rPr>
        <w:t>CAMPUS CARRY</w:t>
      </w:r>
    </w:p>
    <w:p w:rsidR="002F3964" w:rsidRDefault="002F3964" w:rsidP="002F3964">
      <w:pPr>
        <w:pStyle w:val="Heading2"/>
        <w:rPr>
          <w:rFonts w:ascii="Arial" w:hAnsi="Arial" w:cs="Arial"/>
          <w:b/>
          <w:color w:val="auto"/>
        </w:rPr>
      </w:pPr>
    </w:p>
    <w:p w:rsidR="00F82897" w:rsidRPr="008109CB" w:rsidRDefault="00F82897" w:rsidP="002F3964">
      <w:pPr>
        <w:pStyle w:val="NoSpacing"/>
      </w:pPr>
      <w:r w:rsidRPr="002F3964">
        <w:t>Senate Bill 11 passed by the 84</w:t>
      </w:r>
      <w:r w:rsidRPr="002F3964">
        <w:rPr>
          <w:vertAlign w:val="superscript"/>
        </w:rPr>
        <w:t>th</w:t>
      </w:r>
      <w:r w:rsidRPr="002F3964">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https://mwsu.edu/campus-carry/rules-policies.</w:t>
      </w:r>
      <w:r w:rsidR="002F3964" w:rsidRPr="008109CB">
        <w:t xml:space="preserve"> </w:t>
      </w:r>
    </w:p>
    <w:p w:rsidR="007345F6" w:rsidRPr="008109CB" w:rsidRDefault="007345F6">
      <w:pPr>
        <w:rPr>
          <w:rFonts w:ascii="Arial" w:hAnsi="Arial" w:cs="Arial"/>
        </w:rPr>
      </w:pPr>
    </w:p>
    <w:sectPr w:rsidR="007345F6" w:rsidRPr="00810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badi MT Condensed Light">
    <w:altName w:val="MV Boli"/>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A08B6"/>
    <w:multiLevelType w:val="hybridMultilevel"/>
    <w:tmpl w:val="B0D2F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5A1C6F"/>
    <w:multiLevelType w:val="hybridMultilevel"/>
    <w:tmpl w:val="A13C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200FF0"/>
    <w:multiLevelType w:val="hybridMultilevel"/>
    <w:tmpl w:val="467E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F14F4"/>
    <w:multiLevelType w:val="hybridMultilevel"/>
    <w:tmpl w:val="DBEA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97"/>
    <w:rsid w:val="002F3964"/>
    <w:rsid w:val="00414EC0"/>
    <w:rsid w:val="00531430"/>
    <w:rsid w:val="007345F6"/>
    <w:rsid w:val="008109CB"/>
    <w:rsid w:val="008803B4"/>
    <w:rsid w:val="00A077D9"/>
    <w:rsid w:val="00AB6DD0"/>
    <w:rsid w:val="00AF713E"/>
    <w:rsid w:val="00F82897"/>
    <w:rsid w:val="00FE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DD8DF-B2BF-4A73-9A5D-98EECC7F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97"/>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F828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28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396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89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82897"/>
    <w:pPr>
      <w:ind w:left="720"/>
      <w:contextualSpacing/>
    </w:pPr>
  </w:style>
  <w:style w:type="character" w:customStyle="1" w:styleId="Heading2Char">
    <w:name w:val="Heading 2 Char"/>
    <w:basedOn w:val="DefaultParagraphFont"/>
    <w:link w:val="Heading2"/>
    <w:uiPriority w:val="9"/>
    <w:rsid w:val="00F8289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8289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2897"/>
    <w:pPr>
      <w:spacing w:before="100" w:beforeAutospacing="1" w:after="100" w:afterAutospacing="1"/>
    </w:pPr>
    <w:rPr>
      <w:rFonts w:ascii="Times" w:hAnsi="Times" w:cs="Times New Roman"/>
      <w:sz w:val="20"/>
      <w:szCs w:val="20"/>
    </w:rPr>
  </w:style>
  <w:style w:type="character" w:styleId="SubtleEmphasis">
    <w:name w:val="Subtle Emphasis"/>
    <w:basedOn w:val="DefaultParagraphFont"/>
    <w:uiPriority w:val="19"/>
    <w:qFormat/>
    <w:rsid w:val="00A077D9"/>
    <w:rPr>
      <w:i/>
      <w:iCs/>
      <w:color w:val="404040" w:themeColor="text1" w:themeTint="BF"/>
    </w:rPr>
  </w:style>
  <w:style w:type="character" w:customStyle="1" w:styleId="Heading3Char">
    <w:name w:val="Heading 3 Char"/>
    <w:basedOn w:val="DefaultParagraphFont"/>
    <w:link w:val="Heading3"/>
    <w:uiPriority w:val="9"/>
    <w:rsid w:val="002F3964"/>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2F3964"/>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Lynette</dc:creator>
  <cp:keywords/>
  <dc:description/>
  <cp:lastModifiedBy>Watts, Lynette</cp:lastModifiedBy>
  <cp:revision>2</cp:revision>
  <dcterms:created xsi:type="dcterms:W3CDTF">2019-08-08T19:28:00Z</dcterms:created>
  <dcterms:modified xsi:type="dcterms:W3CDTF">2019-08-08T19:28:00Z</dcterms:modified>
</cp:coreProperties>
</file>