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4A" w:rsidRDefault="00CD1B04" w:rsidP="00EC1200">
      <w:pPr>
        <w:jc w:val="center"/>
      </w:pPr>
      <w:r>
        <w:rPr>
          <w:noProof/>
        </w:rPr>
        <w:drawing>
          <wp:inline distT="0" distB="0" distL="0" distR="0" wp14:anchorId="4A925EA6" wp14:editId="5DF411B3">
            <wp:extent cx="2026920" cy="97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7530" cy="982022"/>
                    </a:xfrm>
                    <a:prstGeom prst="rect">
                      <a:avLst/>
                    </a:prstGeom>
                  </pic:spPr>
                </pic:pic>
              </a:graphicData>
            </a:graphic>
          </wp:inline>
        </w:drawing>
      </w:r>
    </w:p>
    <w:p w:rsidR="00EC1200" w:rsidRDefault="00EC1200" w:rsidP="00EC1200">
      <w:pPr>
        <w:pStyle w:val="Heading1"/>
        <w:jc w:val="center"/>
      </w:pPr>
      <w:r>
        <w:t>Midwestern State University</w:t>
      </w:r>
    </w:p>
    <w:p w:rsidR="00EC1200" w:rsidRDefault="00EC1200" w:rsidP="00EC1200">
      <w:pPr>
        <w:jc w:val="center"/>
        <w:rPr>
          <w:szCs w:val="24"/>
        </w:rPr>
      </w:pPr>
      <w:r w:rsidRPr="00EC1200">
        <w:rPr>
          <w:szCs w:val="24"/>
        </w:rPr>
        <w:t>Robert D. &amp; Carol Gunn College of Health Sciences &amp; Human Services</w:t>
      </w:r>
    </w:p>
    <w:p w:rsidR="00EC1200" w:rsidRDefault="00382BFE" w:rsidP="00EC1200">
      <w:pPr>
        <w:jc w:val="center"/>
        <w:rPr>
          <w:szCs w:val="24"/>
        </w:rPr>
      </w:pPr>
      <w:r>
        <w:rPr>
          <w:szCs w:val="24"/>
        </w:rPr>
        <w:t>The Shimadzu School</w:t>
      </w:r>
      <w:bookmarkStart w:id="0" w:name="_GoBack"/>
      <w:bookmarkEnd w:id="0"/>
      <w:r w:rsidR="00EC1200">
        <w:rPr>
          <w:szCs w:val="24"/>
        </w:rPr>
        <w:t xml:space="preserve"> of Radiologic Sciences</w:t>
      </w:r>
    </w:p>
    <w:p w:rsidR="00EC1200" w:rsidRDefault="00EC1200" w:rsidP="00EC1200">
      <w:pPr>
        <w:jc w:val="center"/>
        <w:rPr>
          <w:sz w:val="18"/>
          <w:szCs w:val="18"/>
        </w:rPr>
      </w:pPr>
      <w:r w:rsidRPr="00EC1200">
        <w:rPr>
          <w:sz w:val="18"/>
          <w:szCs w:val="18"/>
        </w:rPr>
        <w:t xml:space="preserve">Revised </w:t>
      </w:r>
      <w:r w:rsidR="00620FE6">
        <w:rPr>
          <w:sz w:val="18"/>
          <w:szCs w:val="18"/>
        </w:rPr>
        <w:t>July</w:t>
      </w:r>
      <w:r w:rsidRPr="00EC1200">
        <w:rPr>
          <w:sz w:val="18"/>
          <w:szCs w:val="18"/>
        </w:rPr>
        <w:t xml:space="preserve"> 201</w:t>
      </w:r>
      <w:r w:rsidR="003B478C">
        <w:rPr>
          <w:sz w:val="18"/>
          <w:szCs w:val="18"/>
        </w:rPr>
        <w:t>9</w:t>
      </w:r>
    </w:p>
    <w:p w:rsidR="00EC1200" w:rsidRDefault="00EC1200" w:rsidP="00EC1200">
      <w:pPr>
        <w:rPr>
          <w:sz w:val="18"/>
          <w:szCs w:val="18"/>
        </w:rPr>
      </w:pPr>
    </w:p>
    <w:p w:rsidR="00EC1200" w:rsidRDefault="00EC1200" w:rsidP="00EC1200">
      <w:pPr>
        <w:rPr>
          <w:szCs w:val="24"/>
        </w:rPr>
      </w:pPr>
      <w:r>
        <w:rPr>
          <w:szCs w:val="24"/>
        </w:rPr>
        <w:t>Course Number: RADS 47</w:t>
      </w:r>
      <w:r w:rsidR="00620FE6">
        <w:rPr>
          <w:szCs w:val="24"/>
        </w:rPr>
        <w:t>5</w:t>
      </w:r>
      <w:r>
        <w:rPr>
          <w:szCs w:val="24"/>
        </w:rPr>
        <w:t>3</w:t>
      </w:r>
      <w:r>
        <w:rPr>
          <w:szCs w:val="24"/>
        </w:rPr>
        <w:tab/>
      </w:r>
      <w:r>
        <w:rPr>
          <w:szCs w:val="24"/>
        </w:rPr>
        <w:tab/>
        <w:t>3 credits</w:t>
      </w:r>
      <w:r>
        <w:rPr>
          <w:szCs w:val="24"/>
        </w:rPr>
        <w:tab/>
      </w:r>
      <w:r>
        <w:rPr>
          <w:szCs w:val="24"/>
        </w:rPr>
        <w:tab/>
      </w:r>
      <w:proofErr w:type="gramStart"/>
      <w:r w:rsidR="00620FE6">
        <w:rPr>
          <w:szCs w:val="24"/>
        </w:rPr>
        <w:t>Fall</w:t>
      </w:r>
      <w:proofErr w:type="gramEnd"/>
      <w:r w:rsidR="00214575">
        <w:rPr>
          <w:szCs w:val="24"/>
        </w:rPr>
        <w:t xml:space="preserve"> </w:t>
      </w:r>
      <w:r>
        <w:rPr>
          <w:szCs w:val="24"/>
        </w:rPr>
        <w:t>201</w:t>
      </w:r>
      <w:r w:rsidR="003B478C">
        <w:rPr>
          <w:szCs w:val="24"/>
        </w:rPr>
        <w:t>9</w:t>
      </w:r>
    </w:p>
    <w:p w:rsidR="00EC1200" w:rsidRDefault="00EC1200" w:rsidP="00EC1200">
      <w:pPr>
        <w:rPr>
          <w:szCs w:val="24"/>
        </w:rPr>
      </w:pPr>
      <w:r>
        <w:rPr>
          <w:szCs w:val="24"/>
        </w:rPr>
        <w:t xml:space="preserve">Course Title:  Mammography </w:t>
      </w:r>
    </w:p>
    <w:p w:rsidR="00EC1200" w:rsidRDefault="00EC1200" w:rsidP="00EC1200">
      <w:pPr>
        <w:rPr>
          <w:szCs w:val="24"/>
        </w:rPr>
      </w:pPr>
    </w:p>
    <w:p w:rsidR="00EC1200" w:rsidRDefault="00EC1200" w:rsidP="00EC1200">
      <w:pPr>
        <w:rPr>
          <w:szCs w:val="24"/>
        </w:rPr>
      </w:pPr>
      <w:r>
        <w:rPr>
          <w:szCs w:val="24"/>
        </w:rPr>
        <w:t>Faculty:</w:t>
      </w:r>
      <w:r>
        <w:rPr>
          <w:szCs w:val="24"/>
        </w:rPr>
        <w:tab/>
        <w:t>Debra Wynne, MSRS, RT(R)</w:t>
      </w:r>
    </w:p>
    <w:p w:rsidR="00EC1200" w:rsidRDefault="00EC1200" w:rsidP="00EC1200">
      <w:pPr>
        <w:rPr>
          <w:szCs w:val="24"/>
        </w:rPr>
      </w:pPr>
      <w:r>
        <w:rPr>
          <w:szCs w:val="24"/>
        </w:rPr>
        <w:tab/>
      </w:r>
      <w:r>
        <w:rPr>
          <w:szCs w:val="24"/>
        </w:rPr>
        <w:tab/>
      </w:r>
      <w:r w:rsidR="003B478C">
        <w:rPr>
          <w:szCs w:val="24"/>
        </w:rPr>
        <w:t>Centennial</w:t>
      </w:r>
      <w:r>
        <w:rPr>
          <w:szCs w:val="24"/>
        </w:rPr>
        <w:t xml:space="preserve"> Hall, Room </w:t>
      </w:r>
      <w:r w:rsidR="003B478C">
        <w:rPr>
          <w:szCs w:val="24"/>
        </w:rPr>
        <w:t>430G</w:t>
      </w:r>
    </w:p>
    <w:p w:rsidR="00EC1200" w:rsidRDefault="00EC1200" w:rsidP="00EC1200">
      <w:pPr>
        <w:rPr>
          <w:szCs w:val="24"/>
        </w:rPr>
      </w:pPr>
      <w:r>
        <w:rPr>
          <w:szCs w:val="24"/>
        </w:rPr>
        <w:tab/>
      </w:r>
      <w:r>
        <w:rPr>
          <w:szCs w:val="24"/>
        </w:rPr>
        <w:tab/>
        <w:t>Tel: 940-397-4608 or Toll Free 866-575-4305</w:t>
      </w:r>
    </w:p>
    <w:p w:rsidR="00EC1200" w:rsidRDefault="00EC1200" w:rsidP="00EC1200">
      <w:pPr>
        <w:rPr>
          <w:szCs w:val="24"/>
        </w:rPr>
      </w:pPr>
      <w:r>
        <w:rPr>
          <w:szCs w:val="24"/>
        </w:rPr>
        <w:tab/>
      </w:r>
      <w:r>
        <w:rPr>
          <w:szCs w:val="24"/>
        </w:rPr>
        <w:tab/>
        <w:t>Fax: 940-397-4845</w:t>
      </w:r>
    </w:p>
    <w:p w:rsidR="00EC1200" w:rsidRDefault="00EC1200" w:rsidP="00EC1200">
      <w:pPr>
        <w:rPr>
          <w:szCs w:val="24"/>
        </w:rPr>
      </w:pPr>
      <w:r>
        <w:rPr>
          <w:szCs w:val="24"/>
        </w:rPr>
        <w:tab/>
      </w:r>
      <w:r>
        <w:rPr>
          <w:szCs w:val="24"/>
        </w:rPr>
        <w:tab/>
        <w:t xml:space="preserve">Email: </w:t>
      </w:r>
      <w:hyperlink r:id="rId8" w:history="1">
        <w:r w:rsidR="00D673BD" w:rsidRPr="007B5CA1">
          <w:rPr>
            <w:rStyle w:val="Hyperlink"/>
            <w:szCs w:val="24"/>
          </w:rPr>
          <w:t>debra.wynne@msutexas.edu</w:t>
        </w:r>
      </w:hyperlink>
    </w:p>
    <w:p w:rsidR="00EC1200" w:rsidRDefault="00EC1200" w:rsidP="00EC1200">
      <w:pPr>
        <w:rPr>
          <w:szCs w:val="24"/>
        </w:rPr>
      </w:pPr>
    </w:p>
    <w:p w:rsidR="00EC1200" w:rsidRDefault="00EC1200" w:rsidP="00EC1200">
      <w:pPr>
        <w:pStyle w:val="Heading1"/>
      </w:pPr>
      <w:r>
        <w:t>Course Overview:</w:t>
      </w:r>
    </w:p>
    <w:p w:rsidR="00214575" w:rsidRDefault="00A83739" w:rsidP="00214575">
      <w:r>
        <w:t>The purpose of this course is to provide the technologist with guidelines for performing quality mammography examinations.  Content includes the historical background of breast cancer and technical evolution of mammography to include digital technology, essentials of the “Imaging Chain,” patient education, and introduction to quality assurance, troubleshooting, instrumentation, positioning, and pathology.</w:t>
      </w:r>
    </w:p>
    <w:p w:rsidR="00EC1200" w:rsidRPr="00EC1200" w:rsidRDefault="00EC1200" w:rsidP="00EC1200"/>
    <w:p w:rsidR="00EC1200" w:rsidRDefault="00EC1200" w:rsidP="00EC1200">
      <w:pPr>
        <w:pStyle w:val="Heading1"/>
      </w:pPr>
      <w:r>
        <w:t>Course Objectives:</w:t>
      </w:r>
    </w:p>
    <w:p w:rsidR="00EC1200" w:rsidRDefault="00EC1200" w:rsidP="00EC1200">
      <w:r w:rsidRPr="00220922">
        <w:t>Upon completion of this course the student will be able to:</w:t>
      </w:r>
    </w:p>
    <w:p w:rsidR="00EC1200" w:rsidRPr="00220922" w:rsidRDefault="00EC1200" w:rsidP="00EC1200"/>
    <w:p w:rsidR="00214575" w:rsidRDefault="00A83739" w:rsidP="00214575">
      <w:pPr>
        <w:pStyle w:val="ListParagraph"/>
        <w:numPr>
          <w:ilvl w:val="0"/>
          <w:numId w:val="3"/>
        </w:numPr>
      </w:pPr>
      <w:r>
        <w:t>Identify risk factors for breast cancer</w:t>
      </w:r>
    </w:p>
    <w:p w:rsidR="00A83739" w:rsidRDefault="00A83739" w:rsidP="00214575">
      <w:pPr>
        <w:pStyle w:val="ListParagraph"/>
        <w:numPr>
          <w:ilvl w:val="0"/>
          <w:numId w:val="3"/>
        </w:numPr>
      </w:pPr>
      <w:r>
        <w:t>Describe breast disease signs and symptoms, diagnosis, and treatment options</w:t>
      </w:r>
    </w:p>
    <w:p w:rsidR="00A83739" w:rsidRDefault="00A83739" w:rsidP="00214575">
      <w:pPr>
        <w:pStyle w:val="ListParagraph"/>
        <w:numPr>
          <w:ilvl w:val="0"/>
          <w:numId w:val="3"/>
        </w:numPr>
      </w:pPr>
      <w:r>
        <w:t>Discuss the guidelines for mammography screening, breast self-examination, and clinical breast examination</w:t>
      </w:r>
    </w:p>
    <w:p w:rsidR="00A83739" w:rsidRDefault="00A83739" w:rsidP="00214575">
      <w:pPr>
        <w:pStyle w:val="ListParagraph"/>
        <w:numPr>
          <w:ilvl w:val="0"/>
          <w:numId w:val="3"/>
        </w:numPr>
      </w:pPr>
      <w:r>
        <w:t>Compare the risks to the benefits of mammography</w:t>
      </w:r>
    </w:p>
    <w:p w:rsidR="00A83739" w:rsidRDefault="00A83739" w:rsidP="00214575">
      <w:pPr>
        <w:pStyle w:val="ListParagraph"/>
        <w:numPr>
          <w:ilvl w:val="0"/>
          <w:numId w:val="3"/>
        </w:numPr>
      </w:pPr>
      <w:r>
        <w:t>Identify and discuss the anatomy, physiology, and pathology of the breast</w:t>
      </w:r>
    </w:p>
    <w:p w:rsidR="00A83739" w:rsidRDefault="00A83739" w:rsidP="00214575">
      <w:pPr>
        <w:pStyle w:val="ListParagraph"/>
        <w:numPr>
          <w:ilvl w:val="0"/>
          <w:numId w:val="3"/>
        </w:numPr>
      </w:pPr>
      <w:r>
        <w:t>Explain mammographic technique needed to obtain quality breast images and resultant diagnosis</w:t>
      </w:r>
    </w:p>
    <w:p w:rsidR="00A83739" w:rsidRDefault="00A83739" w:rsidP="00214575">
      <w:pPr>
        <w:pStyle w:val="ListParagraph"/>
        <w:numPr>
          <w:ilvl w:val="0"/>
          <w:numId w:val="3"/>
        </w:numPr>
      </w:pPr>
      <w:r>
        <w:t>Describe basic positions/projections utilized to image the breast</w:t>
      </w:r>
    </w:p>
    <w:p w:rsidR="00A83739" w:rsidRDefault="00A83739" w:rsidP="00214575">
      <w:pPr>
        <w:pStyle w:val="ListParagraph"/>
        <w:numPr>
          <w:ilvl w:val="0"/>
          <w:numId w:val="3"/>
        </w:numPr>
      </w:pPr>
      <w:r>
        <w:t>Modify these positions/projections based upon patient and physician need</w:t>
      </w:r>
    </w:p>
    <w:p w:rsidR="00A83739" w:rsidRDefault="00A83739" w:rsidP="00214575">
      <w:pPr>
        <w:pStyle w:val="ListParagraph"/>
        <w:numPr>
          <w:ilvl w:val="0"/>
          <w:numId w:val="3"/>
        </w:numPr>
      </w:pPr>
      <w:r>
        <w:t>Discuss mammography image receptors</w:t>
      </w:r>
    </w:p>
    <w:p w:rsidR="00A83739" w:rsidRDefault="00A83739" w:rsidP="00214575">
      <w:pPr>
        <w:pStyle w:val="ListParagraph"/>
        <w:numPr>
          <w:ilvl w:val="0"/>
          <w:numId w:val="3"/>
        </w:numPr>
      </w:pPr>
      <w:r>
        <w:t>Discuss the advantages of digital imaging mammography</w:t>
      </w:r>
    </w:p>
    <w:p w:rsidR="00A83739" w:rsidRDefault="00A83739" w:rsidP="00214575">
      <w:pPr>
        <w:pStyle w:val="ListParagraph"/>
        <w:numPr>
          <w:ilvl w:val="0"/>
          <w:numId w:val="3"/>
        </w:numPr>
      </w:pPr>
      <w:r>
        <w:t>Describe how a digital image is created and processed</w:t>
      </w:r>
    </w:p>
    <w:p w:rsidR="00A83739" w:rsidRDefault="00A83739" w:rsidP="00214575">
      <w:pPr>
        <w:pStyle w:val="ListParagraph"/>
        <w:numPr>
          <w:ilvl w:val="0"/>
          <w:numId w:val="3"/>
        </w:numPr>
      </w:pPr>
      <w:r>
        <w:lastRenderedPageBreak/>
        <w:t>Discuss quality assurance for full field digital mammography</w:t>
      </w:r>
    </w:p>
    <w:p w:rsidR="00A83739" w:rsidRDefault="00A83739" w:rsidP="00214575">
      <w:pPr>
        <w:pStyle w:val="ListParagraph"/>
        <w:numPr>
          <w:ilvl w:val="0"/>
          <w:numId w:val="3"/>
        </w:numPr>
      </w:pPr>
      <w:r>
        <w:t>Identify networking and hardware components for digital mammography imaging</w:t>
      </w:r>
    </w:p>
    <w:p w:rsidR="00A83739" w:rsidRDefault="00A83739" w:rsidP="00214575">
      <w:pPr>
        <w:pStyle w:val="ListParagraph"/>
        <w:numPr>
          <w:ilvl w:val="0"/>
          <w:numId w:val="3"/>
        </w:numPr>
      </w:pPr>
      <w:r>
        <w:t>Define terms used to manipulate the image for individual digital images</w:t>
      </w:r>
    </w:p>
    <w:p w:rsidR="005C1F4A" w:rsidRDefault="005C1F4A" w:rsidP="00214575">
      <w:pPr>
        <w:pStyle w:val="ListParagraph"/>
        <w:numPr>
          <w:ilvl w:val="0"/>
          <w:numId w:val="3"/>
        </w:numPr>
      </w:pPr>
      <w:r>
        <w:t xml:space="preserve">Understand how digital breast </w:t>
      </w:r>
      <w:proofErr w:type="spellStart"/>
      <w:r>
        <w:t>tomosynthesis</w:t>
      </w:r>
      <w:proofErr w:type="spellEnd"/>
      <w:r>
        <w:t xml:space="preserve"> is </w:t>
      </w:r>
      <w:proofErr w:type="spellStart"/>
      <w:r>
        <w:t>perfomed</w:t>
      </w:r>
      <w:proofErr w:type="spellEnd"/>
      <w:r>
        <w:t xml:space="preserve"> and the benefits of</w:t>
      </w:r>
    </w:p>
    <w:p w:rsidR="00A83739" w:rsidRPr="00AA1E03" w:rsidRDefault="00A83739" w:rsidP="00214575">
      <w:pPr>
        <w:pStyle w:val="ListParagraph"/>
        <w:numPr>
          <w:ilvl w:val="0"/>
          <w:numId w:val="3"/>
        </w:numPr>
      </w:pPr>
      <w:r>
        <w:t>Discuss basic additional diagnostic procedures and breast cancer treatments</w:t>
      </w:r>
    </w:p>
    <w:p w:rsidR="00EC1200" w:rsidRDefault="00EC1200" w:rsidP="00EC1200"/>
    <w:p w:rsidR="00EC1200" w:rsidRDefault="00EC1200" w:rsidP="00EC1200">
      <w:pPr>
        <w:pStyle w:val="Heading1"/>
      </w:pPr>
      <w:r>
        <w:t>Textbook:</w:t>
      </w:r>
    </w:p>
    <w:p w:rsidR="00A83739" w:rsidRPr="00521BE3" w:rsidRDefault="00A83739" w:rsidP="00A83739">
      <w:pPr>
        <w:autoSpaceDE w:val="0"/>
        <w:autoSpaceDN w:val="0"/>
        <w:adjustRightInd w:val="0"/>
        <w:ind w:left="720" w:hanging="720"/>
        <w:rPr>
          <w:rFonts w:ascii="Arial,Italic" w:hAnsi="Arial,Italic" w:cs="Arial,Italic"/>
          <w:i/>
          <w:iCs/>
          <w:color w:val="000000"/>
        </w:rPr>
      </w:pPr>
      <w:proofErr w:type="spellStart"/>
      <w:r w:rsidRPr="00521BE3">
        <w:rPr>
          <w:rFonts w:cs="Arial"/>
          <w:color w:val="000000"/>
        </w:rPr>
        <w:t>Andolina</w:t>
      </w:r>
      <w:proofErr w:type="spellEnd"/>
      <w:r w:rsidRPr="00521BE3">
        <w:rPr>
          <w:rFonts w:cs="Arial"/>
          <w:color w:val="000000"/>
        </w:rPr>
        <w:t xml:space="preserve">, V.F., Lille, S.L. (2011). </w:t>
      </w:r>
      <w:r w:rsidRPr="00521BE3">
        <w:rPr>
          <w:rFonts w:ascii="Arial,Italic" w:hAnsi="Arial,Italic" w:cs="Arial,Italic"/>
          <w:i/>
          <w:iCs/>
          <w:color w:val="000000"/>
        </w:rPr>
        <w:t>Mammographic Imaging: A Practical Guide</w:t>
      </w:r>
    </w:p>
    <w:p w:rsidR="00A83739" w:rsidRPr="00521BE3" w:rsidRDefault="00A83739" w:rsidP="00A83739">
      <w:pPr>
        <w:autoSpaceDE w:val="0"/>
        <w:autoSpaceDN w:val="0"/>
        <w:adjustRightInd w:val="0"/>
        <w:ind w:left="720"/>
        <w:rPr>
          <w:rFonts w:cs="Arial"/>
          <w:color w:val="000000"/>
        </w:rPr>
      </w:pPr>
      <w:r w:rsidRPr="00521BE3">
        <w:rPr>
          <w:rFonts w:cs="Arial"/>
          <w:color w:val="000000"/>
        </w:rPr>
        <w:t>(</w:t>
      </w:r>
      <w:r w:rsidR="00D138C4">
        <w:rPr>
          <w:rFonts w:cs="Arial"/>
          <w:color w:val="000000"/>
        </w:rPr>
        <w:t>4th</w:t>
      </w:r>
      <w:r w:rsidRPr="00521BE3">
        <w:rPr>
          <w:rFonts w:cs="Arial"/>
          <w:color w:val="000000"/>
        </w:rPr>
        <w:t xml:space="preserve"> </w:t>
      </w:r>
      <w:proofErr w:type="gramStart"/>
      <w:r w:rsidRPr="00521BE3">
        <w:rPr>
          <w:rFonts w:cs="Arial"/>
          <w:color w:val="000000"/>
        </w:rPr>
        <w:t>ed</w:t>
      </w:r>
      <w:proofErr w:type="gramEnd"/>
      <w:r w:rsidRPr="00521BE3">
        <w:rPr>
          <w:rFonts w:cs="Arial"/>
          <w:color w:val="000000"/>
        </w:rPr>
        <w:t>.). Lippincott Williams &amp; Wilkins.</w:t>
      </w:r>
      <w:r>
        <w:rPr>
          <w:rFonts w:cs="Arial"/>
          <w:color w:val="000000"/>
        </w:rPr>
        <w:t xml:space="preserve"> [ISBN 978-1-</w:t>
      </w:r>
      <w:r w:rsidR="00D138C4">
        <w:rPr>
          <w:rFonts w:cs="Arial"/>
          <w:color w:val="000000"/>
        </w:rPr>
        <w:t>49635</w:t>
      </w:r>
      <w:r>
        <w:rPr>
          <w:rFonts w:cs="Arial"/>
          <w:color w:val="000000"/>
        </w:rPr>
        <w:t>-</w:t>
      </w:r>
      <w:r w:rsidR="00D138C4">
        <w:rPr>
          <w:rFonts w:cs="Arial"/>
          <w:color w:val="000000"/>
        </w:rPr>
        <w:t>202</w:t>
      </w:r>
      <w:r>
        <w:rPr>
          <w:rFonts w:cs="Arial"/>
          <w:color w:val="000000"/>
        </w:rPr>
        <w:t>-</w:t>
      </w:r>
      <w:r w:rsidR="00D138C4">
        <w:rPr>
          <w:rFonts w:cs="Arial"/>
          <w:color w:val="000000"/>
        </w:rPr>
        <w:t>6</w:t>
      </w:r>
      <w:r>
        <w:rPr>
          <w:rFonts w:cs="Arial"/>
          <w:color w:val="000000"/>
        </w:rPr>
        <w:t>]</w:t>
      </w:r>
    </w:p>
    <w:p w:rsidR="00A83739" w:rsidRPr="00521BE3" w:rsidRDefault="00A83739" w:rsidP="00A83739">
      <w:pPr>
        <w:autoSpaceDE w:val="0"/>
        <w:autoSpaceDN w:val="0"/>
        <w:adjustRightInd w:val="0"/>
        <w:ind w:left="720" w:hanging="720"/>
        <w:rPr>
          <w:rFonts w:cs="Arial"/>
          <w:color w:val="000000"/>
        </w:rPr>
      </w:pPr>
    </w:p>
    <w:p w:rsidR="00A83739" w:rsidRPr="00521BE3" w:rsidRDefault="00A83739" w:rsidP="00A83739">
      <w:pPr>
        <w:autoSpaceDE w:val="0"/>
        <w:autoSpaceDN w:val="0"/>
        <w:adjustRightInd w:val="0"/>
        <w:ind w:left="720" w:hanging="720"/>
        <w:rPr>
          <w:rFonts w:cs="Arial"/>
          <w:color w:val="000000"/>
        </w:rPr>
      </w:pPr>
      <w:r w:rsidRPr="00521BE3">
        <w:rPr>
          <w:rFonts w:cs="Arial"/>
          <w:color w:val="000000"/>
        </w:rPr>
        <w:t>American Psychological Association, (2009). Publication Manual of the American</w:t>
      </w:r>
    </w:p>
    <w:p w:rsidR="00A83739" w:rsidRDefault="00A83739" w:rsidP="00A83739">
      <w:pPr>
        <w:ind w:left="1440" w:hanging="720"/>
        <w:rPr>
          <w:rFonts w:cs="Arial"/>
          <w:color w:val="000000"/>
        </w:rPr>
      </w:pPr>
      <w:r w:rsidRPr="00521BE3">
        <w:rPr>
          <w:rFonts w:cs="Arial"/>
          <w:color w:val="000000"/>
        </w:rPr>
        <w:t>Psychological Association (6th ed.). Washington, DC: Author.</w:t>
      </w:r>
    </w:p>
    <w:p w:rsidR="00A83739" w:rsidRDefault="00A83739" w:rsidP="00A83739">
      <w:pPr>
        <w:ind w:left="1440" w:hanging="720"/>
        <w:rPr>
          <w:rFonts w:cs="Arial"/>
          <w:color w:val="000000"/>
        </w:rPr>
      </w:pPr>
      <w:r>
        <w:rPr>
          <w:rFonts w:cs="Arial"/>
          <w:color w:val="000000"/>
        </w:rPr>
        <w:t>[ISBN 978-1-4338-0561-5]</w:t>
      </w:r>
    </w:p>
    <w:p w:rsidR="00EC1200" w:rsidRDefault="00EC1200" w:rsidP="00EC1200"/>
    <w:p w:rsidR="00EC1200" w:rsidRDefault="00EC1200" w:rsidP="00EC1200">
      <w:pPr>
        <w:pStyle w:val="Heading1"/>
      </w:pPr>
      <w:r>
        <w:t>Communication with the Instructor:</w:t>
      </w:r>
    </w:p>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P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EC1200" w:rsidRDefault="00EC1200" w:rsidP="00EC1200"/>
    <w:p w:rsidR="00EC1200" w:rsidRDefault="00EC1200" w:rsidP="00EC1200">
      <w:pPr>
        <w:pStyle w:val="Heading1"/>
      </w:pPr>
      <w:r>
        <w:t>Class Meeting Date and Time:</w:t>
      </w:r>
    </w:p>
    <w:p w:rsidR="00EC1200" w:rsidRPr="00220922" w:rsidRDefault="00EC1200" w:rsidP="00EC1200">
      <w:r w:rsidRPr="00220922">
        <w:t>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syllabus for specific information about activities and due dates.  The instructor will be available to meet face-to-face with any interested students.  This meeting is optional and must be confirmed by email ahead of time with the instructor.</w:t>
      </w:r>
    </w:p>
    <w:p w:rsidR="00EC1200" w:rsidRPr="00220922" w:rsidRDefault="00EC1200" w:rsidP="00EC1200">
      <w:r w:rsidRPr="00220922">
        <w:t xml:space="preserve">Students should check for class announcements on the course website in D2L.  This course also includes an UNGRADED discussion board on D2L so students may post </w:t>
      </w:r>
      <w:r w:rsidRPr="00220922">
        <w:lastRenderedPageBreak/>
        <w:t>questions they want the instructor to answer.  The entire class will benefit from the answers.  Students should check the Instructor Discussion Board at least once per week.</w:t>
      </w:r>
    </w:p>
    <w:p w:rsidR="00EC1200" w:rsidRDefault="00EC1200" w:rsidP="00EC1200"/>
    <w:p w:rsidR="00EC1200" w:rsidRDefault="00EC1200" w:rsidP="00EC1200">
      <w:pPr>
        <w:pStyle w:val="Heading1"/>
      </w:pPr>
      <w:r>
        <w:t>Methodology/Teaching Strategies:</w:t>
      </w:r>
    </w:p>
    <w:p w:rsidR="00EC1200" w:rsidRDefault="00EC1200" w:rsidP="00EC1200">
      <w:r>
        <w:t>Online delivery with asynchronous interactions between students and teacher, and application activities.</w:t>
      </w:r>
    </w:p>
    <w:p w:rsidR="00EC1200" w:rsidRDefault="00EC1200" w:rsidP="00EC1200"/>
    <w:p w:rsidR="00EC1200" w:rsidRDefault="00C42B84" w:rsidP="00C42B84">
      <w:pPr>
        <w:pStyle w:val="Heading1"/>
      </w:pPr>
      <w:r>
        <w:t>Evaluation Method:</w:t>
      </w:r>
    </w:p>
    <w:p w:rsidR="00C42B84" w:rsidRPr="00C42B84" w:rsidRDefault="00C42B84" w:rsidP="00C42B84"/>
    <w:tbl>
      <w:tblPr>
        <w:tblStyle w:val="TableGrid"/>
        <w:tblW w:w="0" w:type="auto"/>
        <w:jc w:val="center"/>
        <w:tblLook w:val="04A0" w:firstRow="1" w:lastRow="0" w:firstColumn="1" w:lastColumn="0" w:noHBand="0" w:noVBand="1"/>
        <w:tblCaption w:val="Grade Distribution Percentages"/>
      </w:tblPr>
      <w:tblGrid>
        <w:gridCol w:w="3505"/>
        <w:gridCol w:w="2430"/>
      </w:tblGrid>
      <w:tr w:rsidR="00C42B84" w:rsidTr="00C42B84">
        <w:trPr>
          <w:tblHeader/>
          <w:jc w:val="center"/>
        </w:trPr>
        <w:tc>
          <w:tcPr>
            <w:tcW w:w="3505" w:type="dxa"/>
          </w:tcPr>
          <w:p w:rsidR="00C42B84" w:rsidRDefault="00C42B84" w:rsidP="00C42B84">
            <w:pPr>
              <w:jc w:val="center"/>
              <w:rPr>
                <w:b/>
              </w:rPr>
            </w:pPr>
          </w:p>
          <w:p w:rsidR="00C42B84" w:rsidRPr="00C42B84" w:rsidRDefault="00C42B84" w:rsidP="00C42B84">
            <w:pPr>
              <w:jc w:val="center"/>
              <w:rPr>
                <w:b/>
              </w:rPr>
            </w:pPr>
            <w:r>
              <w:rPr>
                <w:b/>
              </w:rPr>
              <w:t>Percentage Distribution</w:t>
            </w:r>
          </w:p>
        </w:tc>
        <w:tc>
          <w:tcPr>
            <w:tcW w:w="2430" w:type="dxa"/>
          </w:tcPr>
          <w:p w:rsidR="00C42B84" w:rsidRDefault="00C42B84" w:rsidP="00C42B84">
            <w:pPr>
              <w:jc w:val="center"/>
              <w:rPr>
                <w:b/>
              </w:rPr>
            </w:pPr>
          </w:p>
          <w:p w:rsidR="00C42B84" w:rsidRPr="00C42B84" w:rsidRDefault="00C42B84" w:rsidP="00C42B84">
            <w:pPr>
              <w:jc w:val="center"/>
              <w:rPr>
                <w:b/>
              </w:rPr>
            </w:pPr>
            <w:r>
              <w:rPr>
                <w:b/>
              </w:rPr>
              <w:t>Value</w:t>
            </w:r>
          </w:p>
        </w:tc>
      </w:tr>
      <w:tr w:rsidR="00C42B84" w:rsidTr="00C42B84">
        <w:trPr>
          <w:jc w:val="center"/>
        </w:trPr>
        <w:tc>
          <w:tcPr>
            <w:tcW w:w="3505" w:type="dxa"/>
          </w:tcPr>
          <w:p w:rsidR="00C42B84" w:rsidRDefault="00C42B84" w:rsidP="00C42B84">
            <w:pPr>
              <w:jc w:val="center"/>
            </w:pPr>
            <w:r>
              <w:t>Module Quizzes</w:t>
            </w:r>
          </w:p>
        </w:tc>
        <w:tc>
          <w:tcPr>
            <w:tcW w:w="2430" w:type="dxa"/>
          </w:tcPr>
          <w:p w:rsidR="00C42B84" w:rsidRDefault="00A32C25" w:rsidP="00C42B84">
            <w:pPr>
              <w:jc w:val="center"/>
            </w:pPr>
            <w:r>
              <w:t>3</w:t>
            </w:r>
            <w:r w:rsidR="00C42B84">
              <w:t>5%</w:t>
            </w:r>
          </w:p>
        </w:tc>
      </w:tr>
      <w:tr w:rsidR="00C42B84" w:rsidTr="00C42B84">
        <w:trPr>
          <w:jc w:val="center"/>
        </w:trPr>
        <w:tc>
          <w:tcPr>
            <w:tcW w:w="3505" w:type="dxa"/>
          </w:tcPr>
          <w:p w:rsidR="00C42B84" w:rsidRDefault="00A32C25" w:rsidP="00C42B84">
            <w:pPr>
              <w:jc w:val="center"/>
            </w:pPr>
            <w:r>
              <w:t>Student Project/Case Study</w:t>
            </w:r>
          </w:p>
        </w:tc>
        <w:tc>
          <w:tcPr>
            <w:tcW w:w="2430" w:type="dxa"/>
          </w:tcPr>
          <w:p w:rsidR="00C42B84" w:rsidRDefault="00A32C25" w:rsidP="00C42B84">
            <w:pPr>
              <w:jc w:val="center"/>
            </w:pPr>
            <w:r>
              <w:t>3</w:t>
            </w:r>
            <w:r w:rsidR="00C42B84">
              <w:t>0%</w:t>
            </w:r>
          </w:p>
        </w:tc>
      </w:tr>
      <w:tr w:rsidR="00C42B84" w:rsidTr="00C42B84">
        <w:trPr>
          <w:jc w:val="center"/>
        </w:trPr>
        <w:tc>
          <w:tcPr>
            <w:tcW w:w="3505" w:type="dxa"/>
          </w:tcPr>
          <w:p w:rsidR="00C42B84" w:rsidRDefault="00A32C25" w:rsidP="00C42B84">
            <w:pPr>
              <w:jc w:val="center"/>
            </w:pPr>
            <w:r>
              <w:t>Comprehensive Final Exam</w:t>
            </w:r>
          </w:p>
        </w:tc>
        <w:tc>
          <w:tcPr>
            <w:tcW w:w="2430" w:type="dxa"/>
          </w:tcPr>
          <w:p w:rsidR="00C42B84" w:rsidRDefault="00A32C25" w:rsidP="00C42B84">
            <w:pPr>
              <w:jc w:val="center"/>
            </w:pPr>
            <w:r>
              <w:t>35</w:t>
            </w:r>
            <w:r w:rsidR="00C42B84">
              <w:t>%</w:t>
            </w:r>
          </w:p>
        </w:tc>
      </w:tr>
    </w:tbl>
    <w:p w:rsidR="00C42B84" w:rsidRDefault="00C42B84" w:rsidP="00C42B84">
      <w:pPr>
        <w:jc w:val="center"/>
      </w:pPr>
    </w:p>
    <w:p w:rsidR="00C42B84" w:rsidRDefault="00C42B84" w:rsidP="00C42B84">
      <w:pPr>
        <w:pStyle w:val="Heading1"/>
      </w:pPr>
      <w:r>
        <w:t>Grading Scale:</w:t>
      </w:r>
    </w:p>
    <w:p w:rsidR="00C42B84" w:rsidRDefault="00C42B84" w:rsidP="00C42B84"/>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4D2EBF">
            <w:pPr>
              <w:jc w:val="center"/>
            </w:pPr>
            <w:r w:rsidRPr="004D2EBF">
              <w:t>59 or less</w:t>
            </w:r>
          </w:p>
        </w:tc>
      </w:tr>
    </w:tbl>
    <w:p w:rsidR="00C42B84" w:rsidRDefault="00C42B84" w:rsidP="00C42B84"/>
    <w:p w:rsidR="004D2EBF" w:rsidRDefault="004D2EBF" w:rsidP="004D2EBF">
      <w:r w:rsidRPr="004D2EBF">
        <w:rPr>
          <w:rStyle w:val="Strong"/>
          <w:color w:val="C00000"/>
        </w:rPr>
        <w:t xml:space="preserve">The last opportunity to drop this course with a grade of “W” is 4:00pm </w:t>
      </w:r>
      <w:r w:rsidR="00A32C25">
        <w:rPr>
          <w:rStyle w:val="Strong"/>
          <w:color w:val="C00000"/>
        </w:rPr>
        <w:t>October 2</w:t>
      </w:r>
      <w:r w:rsidR="00B243F9">
        <w:rPr>
          <w:rStyle w:val="Strong"/>
          <w:color w:val="C00000"/>
        </w:rPr>
        <w:t>8</w:t>
      </w:r>
      <w:r w:rsidRPr="004D2EBF">
        <w:rPr>
          <w:rStyle w:val="Strong"/>
          <w:color w:val="C00000"/>
        </w:rPr>
        <w:t>, 201</w:t>
      </w:r>
      <w:r w:rsidR="00B243F9">
        <w:rPr>
          <w:rStyle w:val="Strong"/>
          <w:color w:val="C00000"/>
        </w:rPr>
        <w:t>9</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p>
    <w:p w:rsidR="004D2EBF" w:rsidRPr="004D2EBF" w:rsidRDefault="004D2EBF" w:rsidP="004D2EBF"/>
    <w:p w:rsidR="004D2EBF" w:rsidRDefault="004D2EBF" w:rsidP="004D2EBF">
      <w:r w:rsidRPr="004D2EBF">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4D2EBF" w:rsidRPr="004D2EBF" w:rsidRDefault="004D2EBF" w:rsidP="004D2EBF"/>
    <w:p w:rsidR="004D2EBF" w:rsidRDefault="004D2EBF" w:rsidP="004D2EBF">
      <w:pPr>
        <w:pStyle w:val="Heading1"/>
      </w:pPr>
      <w:r>
        <w:t>Student Responsibilities:</w:t>
      </w:r>
    </w:p>
    <w:p w:rsidR="004D2EBF" w:rsidRDefault="004D2EBF" w:rsidP="004D2EBF">
      <w:r w:rsidRPr="00220922">
        <w:t xml:space="preserve">As a student enrolled in this course, you will be responsible for adhering to and meeting posted deadlines and due dates.  All activities for this course are listed at the end of this syllabus. </w:t>
      </w:r>
    </w:p>
    <w:p w:rsidR="004D2EBF" w:rsidRPr="00220922" w:rsidRDefault="004D2EBF" w:rsidP="004D2EBF"/>
    <w:p w:rsidR="004D2EBF" w:rsidRPr="00220922" w:rsidRDefault="004D2EBF" w:rsidP="004D2EBF">
      <w:r w:rsidRPr="00220922">
        <w:lastRenderedPageBreak/>
        <w:t>Activities such as quizzes have expiration dates.  Please take note that expiration dates for quizzes will differ from deadlines for assignments and activities.</w:t>
      </w:r>
    </w:p>
    <w:p w:rsidR="004D2EBF" w:rsidRDefault="004D2EBF" w:rsidP="004D2EBF">
      <w:r w:rsidRPr="00220922">
        <w:t xml:space="preserve">Quizzes and assignments/activities are spaced out in a manner that will allow you ample time to complete them.  Assignments/activities will be accepted on or before the posted due date and deadline.  </w:t>
      </w:r>
      <w:r w:rsidRPr="004D2EBF">
        <w:rPr>
          <w:rStyle w:val="IntenseEmphasis"/>
          <w:b/>
        </w:rPr>
        <w:t>No late assignments/activities will be accepted.</w:t>
      </w:r>
      <w:r w:rsidRPr="00220922">
        <w:t xml:space="preserve">  If a student cannot complete a course activity by the indicated due date, the student must contact the course instructor immediately.  Please note that late submissions will not be graded; students must contact the instructor for approval for late submissions.  If a student has emergency issues, then the student must contact the instructor as soon as possible (within a day or two).  Any activity not completed and submitted by the due date will be addressed on an individual basis. </w:t>
      </w:r>
    </w:p>
    <w:p w:rsidR="004D2EBF" w:rsidRPr="00220922" w:rsidRDefault="004D2EBF" w:rsidP="004D2EBF"/>
    <w:p w:rsidR="004D2EBF" w:rsidRPr="004D2EBF" w:rsidRDefault="004D2EBF" w:rsidP="004D2EBF">
      <w:pPr>
        <w:rPr>
          <w:rStyle w:val="IntenseEmphasis"/>
          <w:b/>
        </w:rPr>
      </w:pPr>
      <w:r w:rsidRPr="004D2EBF">
        <w:rPr>
          <w:rStyle w:val="IntenseEmphasis"/>
          <w:b/>
        </w:rPr>
        <w:t>Students must use baccalaureate level writing skills including complete sentences, correct grammar, and proper punctuation.  All assignments will be graded for accuracy, completeness, quality, spelling, grammar, and integrity.</w:t>
      </w:r>
    </w:p>
    <w:p w:rsidR="004D2EBF" w:rsidRPr="00220922" w:rsidRDefault="004D2EBF" w:rsidP="004D2EBF"/>
    <w:p w:rsidR="004D2EBF" w:rsidRDefault="004D2EBF" w:rsidP="004D2EBF">
      <w:r w:rsidRPr="00220922">
        <w:t xml:space="preserve">All assignments will be submitted in a </w:t>
      </w:r>
      <w:proofErr w:type="spellStart"/>
      <w:r w:rsidRPr="00220922">
        <w:t>dropbox</w:t>
      </w:r>
      <w:proofErr w:type="spellEnd"/>
      <w:r w:rsidRPr="00220922">
        <w:t xml:space="preserve"> within D2L.  All assignments will be completed in Times New Roman or Arial, 12 point font.</w:t>
      </w:r>
    </w:p>
    <w:p w:rsidR="004D2EBF" w:rsidRPr="00220922" w:rsidRDefault="004D2EBF" w:rsidP="004D2EBF"/>
    <w:p w:rsidR="004D2EBF" w:rsidRPr="00220922" w:rsidRDefault="004D2EBF" w:rsidP="004D2EBF">
      <w:r w:rsidRPr="00220922">
        <w:t>See the course calendar for the specific due date.</w:t>
      </w:r>
    </w:p>
    <w:p w:rsidR="004D2EBF" w:rsidRDefault="004D2EBF" w:rsidP="004D2EBF"/>
    <w:p w:rsidR="004D2EBF" w:rsidRDefault="004D2EBF" w:rsidP="004D2EBF">
      <w:pPr>
        <w:pStyle w:val="Heading1"/>
      </w:pPr>
      <w:r>
        <w:t>Assignments/Quizzes:</w:t>
      </w:r>
    </w:p>
    <w:p w:rsidR="004D2EBF" w:rsidRDefault="004D2EBF" w:rsidP="004D2EBF">
      <w:r w:rsidRPr="00220922">
        <w:t xml:space="preserve">In each of the units a quiz will be given within D2L.  These quizzes are open book, open note but you will only have one hour to complete them and must be prepared as there will not be enough time to research every answer.  Quizzes must be completed prior to the expiration date below.  Quiz grades and answers will be released after the deadline of each quiz.  Specific questions regarding the quizzes may be addressed to the instructor.  </w:t>
      </w:r>
      <w:r w:rsidRPr="004D2EBF">
        <w:rPr>
          <w:rStyle w:val="IntenseEmphasis"/>
          <w:b/>
        </w:rPr>
        <w:t>Quizzes MAY NOT be made up if missed and a zero will be recorded.</w:t>
      </w:r>
      <w:r w:rsidRPr="00220922">
        <w:t xml:space="preserve">  No extra credit activities are available.</w:t>
      </w:r>
    </w:p>
    <w:p w:rsidR="004D2EBF" w:rsidRPr="00220922" w:rsidRDefault="004D2EBF" w:rsidP="004D2EBF"/>
    <w:p w:rsidR="004D2EBF" w:rsidRDefault="004D2EBF" w:rsidP="004D2EBF">
      <w:r w:rsidRPr="00220922">
        <w:t>Assignments are a significant portion of the grade and represent application of the material studied.  All assignments are to be submitted as instructed in each unit.  Points will be deducted for improper format.  Proper APA format must be used where appropriate.  Plagiarism will be graded harshly.  Assignments must be received prior to the deadline.  A zero will be recorded for assignments not submitted or meeting the final deadline.</w:t>
      </w:r>
    </w:p>
    <w:p w:rsidR="004D2EBF" w:rsidRPr="00220922" w:rsidRDefault="004D2EBF" w:rsidP="004D2EBF"/>
    <w:p w:rsidR="004D2EBF" w:rsidRDefault="00A32C25" w:rsidP="00A32C25">
      <w:pPr>
        <w:pStyle w:val="Heading1"/>
      </w:pPr>
      <w:r>
        <w:t>Case Study Assignment:</w:t>
      </w:r>
    </w:p>
    <w:p w:rsidR="00A32C25" w:rsidRDefault="00A32C25" w:rsidP="00A32C25">
      <w:r>
        <w:t xml:space="preserve">Each student will complete a case study assignment.  This will be a narrated presentation.  A template is provided within the course contents.  The template is a Power Point presentation but you may also use Prezi.  Please refer to this template for detailed instructions when preparing this case study.  The minimum number of slides </w:t>
      </w:r>
      <w:r>
        <w:lastRenderedPageBreak/>
        <w:t xml:space="preserve">required is 10 and the maximum number of slides allowed is 15.  The case study topic will be approved by the instructor.  </w:t>
      </w:r>
      <w:r w:rsidRPr="00A32C25">
        <w:rPr>
          <w:rStyle w:val="Strong"/>
        </w:rPr>
        <w:t>Please choose a breast pathology that can be seen on some modality of radiographic imaging.</w:t>
      </w:r>
      <w:r>
        <w:t xml:space="preserve">  Please submit your topic in the Discussion Forum titled Case Study Topic Approval by the due date listed.  The completed Case Study must be uploaded onto YouTube and the link must be submitted into the Case Study Dropbox by the due date indicated on the course calendar.  All assignments submitted will be considered complete and graded as such.  Complete instructions can be found within D2L. </w:t>
      </w:r>
    </w:p>
    <w:p w:rsidR="00A32C25" w:rsidRDefault="00A32C25" w:rsidP="00A32C25"/>
    <w:p w:rsidR="009A0C5C" w:rsidRDefault="009A0C5C" w:rsidP="009A0C5C">
      <w:pPr>
        <w:pStyle w:val="Heading1"/>
      </w:pPr>
      <w:r>
        <w:t>Comprehensive Proctored Final Exam:</w:t>
      </w:r>
    </w:p>
    <w:p w:rsidR="009A0C5C" w:rsidRPr="009A0C5C" w:rsidRDefault="009A0C5C" w:rsidP="009A0C5C">
      <w:r w:rsidRPr="009A0C5C">
        <w:t xml:space="preserve">The final exam is a comprehensive proctored exam and will be administered within D2L.  </w:t>
      </w:r>
      <w:r w:rsidRPr="009A0C5C">
        <w:rPr>
          <w:rStyle w:val="Strong"/>
        </w:rPr>
        <w:t>IT IS TO BE TAKEN WITHOUT THE BENEFIT OF BOOKS, NOTES, OR REFERENCES OF ANY KIND.</w:t>
      </w:r>
      <w:r w:rsidRPr="009A0C5C">
        <w:t xml:space="preserve">  Please schedule a time for the final with the proctor service.  </w:t>
      </w:r>
      <w:r w:rsidRPr="009A0C5C">
        <w:rPr>
          <w:rStyle w:val="IntenseEmphasis"/>
        </w:rPr>
        <w:t>All students are REQUIRED to have a webcam &amp; microphone for the Final Exam.</w:t>
      </w:r>
      <w:r w:rsidRPr="009A0C5C">
        <w:t xml:space="preserve">  </w:t>
      </w:r>
      <w:r w:rsidRPr="009A0C5C">
        <w:rPr>
          <w:rStyle w:val="Strong"/>
          <w:color w:val="C00000"/>
        </w:rPr>
        <w:t>SEE THE PROCTOR INSTRUCTIONS FOR COMPLETE DETAILS.</w:t>
      </w:r>
      <w:r w:rsidRPr="009A0C5C">
        <w:rPr>
          <w:color w:val="C00000"/>
        </w:rPr>
        <w:t xml:space="preserve"> </w:t>
      </w:r>
    </w:p>
    <w:p w:rsidR="009A0C5C" w:rsidRPr="009A0C5C" w:rsidRDefault="009A0C5C" w:rsidP="009A0C5C"/>
    <w:p w:rsidR="004D2EBF" w:rsidRDefault="004D2EBF" w:rsidP="004D2EBF">
      <w:pPr>
        <w:pStyle w:val="Heading1"/>
      </w:pPr>
      <w:r>
        <w:t>Special Needs:</w:t>
      </w:r>
    </w:p>
    <w:p w:rsidR="004D2EBF" w:rsidRDefault="004D2EBF" w:rsidP="004D2EBF">
      <w:r w:rsidRPr="00220922">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t>The ADA Coordinator may be contacted at (940) 397.4140, or 3410 Taft Blvd., Clark Student Center Room 168.</w:t>
      </w:r>
    </w:p>
    <w:p w:rsidR="008D0890" w:rsidRDefault="008D0890" w:rsidP="004D2EBF"/>
    <w:p w:rsidR="004D2EBF" w:rsidRDefault="008D0890" w:rsidP="008D0890">
      <w:pPr>
        <w:pStyle w:val="Heading1"/>
      </w:pPr>
      <w:r>
        <w:lastRenderedPageBreak/>
        <w:t>Conduct/Honesty/Honor System:</w:t>
      </w:r>
    </w:p>
    <w:p w:rsidR="008D0890" w:rsidRDefault="008D0890" w:rsidP="008D0890">
      <w:r w:rsidRPr="00220922">
        <w:t>RADS 47</w:t>
      </w:r>
      <w:r w:rsidR="00FD1288">
        <w:t>5</w:t>
      </w:r>
      <w:r w:rsidRPr="00220922">
        <w:t>3 adheres to the MSU Code of Conduct.  In particular, academic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8D0890" w:rsidP="008D0890">
      <w:r w:rsidRPr="00220922">
        <w:t>Specific components of RADS 47</w:t>
      </w:r>
      <w:r w:rsidR="00FD1288">
        <w:t>5</w:t>
      </w:r>
      <w:r w:rsidRPr="00220922">
        <w:t xml:space="preserve">3 are designed to represent the efforts of each student individually and are NOT to be shared.  These components include the written assignment submitted for a grade.  Submitting someone else’s work as your own or improperly cited work constitutes plagiarism.  Please see the Midwestern State University Catalog for further discussion of plagiarism.  Plagiarism will constitute in an F for the course and the student will be referred to administration for further action.  When students submit their efforts for grading, they are attesting they abided by this rule.  </w:t>
      </w:r>
      <w:r w:rsidRPr="008D0890">
        <w:rPr>
          <w:rStyle w:val="IntenseEmphasis"/>
          <w:b/>
        </w:rPr>
        <w:t>Quizzes and exams are not to be copied in any form or shared in any form.  Students caught engaging in such activity will receive an F for the course and be referred to University administration for dismissal.</w:t>
      </w:r>
    </w:p>
    <w:p w:rsidR="008D0890" w:rsidRPr="00220922" w:rsidRDefault="008D0890" w:rsidP="008D0890"/>
    <w:p w:rsidR="008D0890" w:rsidRDefault="008D0890" w:rsidP="008D0890">
      <w:r w:rsidRPr="00220922">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Default="008D0890" w:rsidP="008D0890">
      <w:r w:rsidRPr="00220922">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FD1288" w:rsidRDefault="00FD1288" w:rsidP="00FD1288">
      <w:pPr>
        <w:pStyle w:val="Heading1"/>
      </w:pPr>
      <w:r>
        <w:lastRenderedPageBreak/>
        <w:t>Campus Carry Policy:</w:t>
      </w:r>
    </w:p>
    <w:p w:rsidR="00FD1288" w:rsidRPr="00426657" w:rsidRDefault="00FD1288" w:rsidP="00FD1288">
      <w:r w:rsidRPr="00426657">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9" w:history="1">
        <w:r w:rsidR="0021531F">
          <w:rPr>
            <w:rStyle w:val="Hyperlink"/>
          </w:rPr>
          <w:t>Campus Carry Policy</w:t>
        </w:r>
      </w:hyperlink>
    </w:p>
    <w:p w:rsidR="00FD1288" w:rsidRDefault="00FD1288" w:rsidP="00FD1288"/>
    <w:p w:rsidR="00FD1288" w:rsidRDefault="00FD1288" w:rsidP="00FD1288">
      <w:pPr>
        <w:pStyle w:val="Heading1"/>
      </w:pPr>
      <w:r>
        <w:t>Writing Proficiency Requirement:</w:t>
      </w:r>
    </w:p>
    <w:p w:rsidR="00FD1288" w:rsidRDefault="00FD1288" w:rsidP="00FD1288">
      <w:r w:rsidRPr="00426657">
        <w:t xml:space="preserve">All students seeking a Bachelor’s degree from Midwestern State University must satisfy a writing proficiency requirement once they’ve earned 60 hours.  You may do so by passing either the Writing Proficiency Exam or English 2113.  Please keep in mind that, once you’ve earned over 90 hours, you lose the opportunity to take the $25 exam and have no option but to enroll in the three-credit hour course.  If you have any questions about the exam, visit the Writing Proficiency Office website at </w:t>
      </w:r>
      <w:hyperlink r:id="rId10" w:history="1">
        <w:r w:rsidR="0021531F">
          <w:rPr>
            <w:rStyle w:val="Hyperlink"/>
          </w:rPr>
          <w:t>Writing Proficiency Exam</w:t>
        </w:r>
      </w:hyperlink>
      <w:r w:rsidRPr="00426657">
        <w:t>, or call (940) 397-4131.</w:t>
      </w:r>
    </w:p>
    <w:p w:rsidR="00FD1288" w:rsidRPr="00FD1288" w:rsidRDefault="00FD1288" w:rsidP="00FD1288"/>
    <w:p w:rsidR="008D0890" w:rsidRDefault="008D0890" w:rsidP="008D0890">
      <w:pPr>
        <w:pStyle w:val="Heading1"/>
      </w:pPr>
      <w:r>
        <w:t>Administrative Process:</w:t>
      </w:r>
    </w:p>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8D0890" w:rsidRPr="00220922" w:rsidRDefault="008D0890" w:rsidP="008D0890">
      <w:r w:rsidRPr="00220922">
        <w:tab/>
        <w:t xml:space="preserve">1. </w:t>
      </w:r>
      <w:r w:rsidR="00410304">
        <w:t xml:space="preserve">Interim </w:t>
      </w:r>
      <w:r w:rsidRPr="00220922">
        <w:t xml:space="preserve">Department Chair:  </w:t>
      </w:r>
      <w:r w:rsidR="00121ECE">
        <w:t xml:space="preserve">Dr. Beth </w:t>
      </w:r>
      <w:proofErr w:type="spellStart"/>
      <w:r w:rsidR="00121ECE">
        <w:t>Veal</w:t>
      </w:r>
      <w:r w:rsidR="00121ECE">
        <w:rPr>
          <w:rFonts w:cs="Arial"/>
        </w:rPr>
        <w:t>é</w:t>
      </w:r>
      <w:proofErr w:type="spellEnd"/>
      <w:r w:rsidRPr="00220922">
        <w:t xml:space="preserve"> (940) 397.46</w:t>
      </w:r>
      <w:r w:rsidR="00121ECE">
        <w:t>11</w:t>
      </w:r>
    </w:p>
    <w:p w:rsidR="008D0890" w:rsidRPr="00220922" w:rsidRDefault="008D0890" w:rsidP="008D0890">
      <w:r w:rsidRPr="00220922">
        <w:tab/>
        <w:t xml:space="preserve">2. College Dean:  Dr. </w:t>
      </w:r>
      <w:r w:rsidR="00410304">
        <w:t>Jeff Killion</w:t>
      </w:r>
      <w:r w:rsidRPr="00220922">
        <w:t xml:space="preserve"> (940) 397.4594</w:t>
      </w:r>
    </w:p>
    <w:p w:rsidR="008D0890" w:rsidRDefault="008D0890" w:rsidP="008D0890">
      <w:r w:rsidRPr="00220922">
        <w:tab/>
        <w:t>3. Dean of Students:  Matthew Park (940) 397.7500</w:t>
      </w:r>
    </w:p>
    <w:p w:rsidR="008D0890" w:rsidRDefault="008D0890">
      <w:pPr>
        <w:spacing w:after="160"/>
      </w:pPr>
      <w:r>
        <w:br w:type="page"/>
      </w:r>
    </w:p>
    <w:p w:rsidR="008D0890" w:rsidRDefault="008D0890" w:rsidP="008D0890">
      <w:pPr>
        <w:pStyle w:val="Heading1"/>
        <w:jc w:val="center"/>
      </w:pPr>
      <w:r>
        <w:lastRenderedPageBreak/>
        <w:t>Tentative Course Schedule</w:t>
      </w:r>
    </w:p>
    <w:p w:rsidR="008D0890" w:rsidRDefault="008D0890" w:rsidP="008D0890"/>
    <w:tbl>
      <w:tblPr>
        <w:tblStyle w:val="TableGrid"/>
        <w:tblW w:w="0" w:type="auto"/>
        <w:tblInd w:w="1525" w:type="dxa"/>
        <w:tblLook w:val="04A0" w:firstRow="1" w:lastRow="0" w:firstColumn="1" w:lastColumn="0" w:noHBand="0" w:noVBand="1"/>
        <w:tblCaption w:val="Course Schedule"/>
      </w:tblPr>
      <w:tblGrid>
        <w:gridCol w:w="2250"/>
        <w:gridCol w:w="5220"/>
      </w:tblGrid>
      <w:tr w:rsidR="008D0890" w:rsidTr="008D0890">
        <w:trPr>
          <w:tblHeader/>
        </w:trPr>
        <w:tc>
          <w:tcPr>
            <w:tcW w:w="2250" w:type="dxa"/>
          </w:tcPr>
          <w:p w:rsidR="008D0890" w:rsidRPr="008D0890" w:rsidRDefault="008D0890" w:rsidP="008D0890">
            <w:pPr>
              <w:jc w:val="center"/>
              <w:rPr>
                <w:b/>
              </w:rPr>
            </w:pPr>
            <w:r>
              <w:rPr>
                <w:b/>
              </w:rPr>
              <w:t>Date</w:t>
            </w:r>
          </w:p>
        </w:tc>
        <w:tc>
          <w:tcPr>
            <w:tcW w:w="5220" w:type="dxa"/>
          </w:tcPr>
          <w:p w:rsidR="008D0890" w:rsidRDefault="008D0890" w:rsidP="008D0890">
            <w:pPr>
              <w:jc w:val="center"/>
              <w:rPr>
                <w:b/>
              </w:rPr>
            </w:pPr>
            <w:r>
              <w:rPr>
                <w:b/>
              </w:rPr>
              <w:t>Activity</w:t>
            </w:r>
          </w:p>
          <w:p w:rsidR="008D0890" w:rsidRPr="008D0890" w:rsidRDefault="008D0890" w:rsidP="008D0890">
            <w:pPr>
              <w:jc w:val="center"/>
              <w:rPr>
                <w:rStyle w:val="IntenseEmphasis"/>
                <w:b/>
              </w:rPr>
            </w:pPr>
            <w:r w:rsidRPr="008D0890">
              <w:rPr>
                <w:rStyle w:val="IntenseEmphasis"/>
                <w:b/>
              </w:rPr>
              <w:t>All assignments are due by 11:59pm CST on the indicated due date</w:t>
            </w:r>
          </w:p>
        </w:tc>
      </w:tr>
      <w:tr w:rsidR="008D0890" w:rsidTr="008D0890">
        <w:tc>
          <w:tcPr>
            <w:tcW w:w="2250" w:type="dxa"/>
          </w:tcPr>
          <w:p w:rsidR="008D0890" w:rsidRDefault="008D0890" w:rsidP="008D0890">
            <w:pPr>
              <w:jc w:val="right"/>
            </w:pPr>
          </w:p>
          <w:p w:rsidR="008D0890" w:rsidRDefault="00FD1288" w:rsidP="00226295">
            <w:pPr>
              <w:jc w:val="right"/>
            </w:pPr>
            <w:r>
              <w:t>August 2</w:t>
            </w:r>
            <w:r w:rsidR="00226295">
              <w:t>4</w:t>
            </w:r>
          </w:p>
        </w:tc>
        <w:tc>
          <w:tcPr>
            <w:tcW w:w="5220" w:type="dxa"/>
          </w:tcPr>
          <w:p w:rsidR="008D0890" w:rsidRDefault="008D0890" w:rsidP="008D0890">
            <w:pPr>
              <w:jc w:val="both"/>
            </w:pPr>
          </w:p>
          <w:p w:rsidR="008D0890" w:rsidRDefault="008D0890" w:rsidP="008D0890">
            <w:pPr>
              <w:jc w:val="both"/>
            </w:pPr>
            <w:r>
              <w:t>Classes begin</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FD1288" w:rsidP="00226295">
            <w:pPr>
              <w:jc w:val="right"/>
            </w:pPr>
            <w:r>
              <w:t xml:space="preserve">September </w:t>
            </w:r>
            <w:r w:rsidR="00226295">
              <w:t>16</w:t>
            </w:r>
          </w:p>
        </w:tc>
        <w:tc>
          <w:tcPr>
            <w:tcW w:w="5220" w:type="dxa"/>
          </w:tcPr>
          <w:p w:rsidR="008D0890" w:rsidRDefault="008D0890" w:rsidP="008D0890">
            <w:pPr>
              <w:jc w:val="both"/>
            </w:pPr>
          </w:p>
          <w:p w:rsidR="008D0890" w:rsidRDefault="008D0890" w:rsidP="008D0890">
            <w:pPr>
              <w:jc w:val="both"/>
            </w:pPr>
            <w:r>
              <w:t>Module 1 Quiz</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FD1288" w:rsidP="008D0890">
            <w:pPr>
              <w:jc w:val="right"/>
            </w:pPr>
            <w:r>
              <w:t>September 23</w:t>
            </w:r>
          </w:p>
        </w:tc>
        <w:tc>
          <w:tcPr>
            <w:tcW w:w="5220" w:type="dxa"/>
          </w:tcPr>
          <w:p w:rsidR="008D0890" w:rsidRDefault="008D0890" w:rsidP="008D0890">
            <w:pPr>
              <w:jc w:val="both"/>
            </w:pPr>
          </w:p>
          <w:p w:rsidR="008D0890" w:rsidRDefault="00FD1288" w:rsidP="008D0890">
            <w:pPr>
              <w:jc w:val="both"/>
            </w:pPr>
            <w:r>
              <w:t>Case Study Topic Approval Deadline</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226295" w:rsidP="008D0890">
            <w:pPr>
              <w:jc w:val="right"/>
            </w:pPr>
            <w:r>
              <w:t>October 7</w:t>
            </w:r>
          </w:p>
        </w:tc>
        <w:tc>
          <w:tcPr>
            <w:tcW w:w="5220" w:type="dxa"/>
          </w:tcPr>
          <w:p w:rsidR="008D0890" w:rsidRDefault="008D0890" w:rsidP="008D0890">
            <w:pPr>
              <w:jc w:val="both"/>
            </w:pPr>
          </w:p>
          <w:p w:rsidR="008D0890" w:rsidRDefault="008D0890" w:rsidP="008D0890">
            <w:pPr>
              <w:jc w:val="both"/>
            </w:pPr>
            <w:r>
              <w:t xml:space="preserve">Module </w:t>
            </w:r>
            <w:r w:rsidR="00FD1288">
              <w:t>2</w:t>
            </w:r>
            <w:r>
              <w:t xml:space="preserve"> Quiz</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FD1288" w:rsidP="00226295">
            <w:pPr>
              <w:jc w:val="right"/>
            </w:pPr>
            <w:r>
              <w:t>October 2</w:t>
            </w:r>
            <w:r w:rsidR="00226295">
              <w:t>8</w:t>
            </w:r>
          </w:p>
        </w:tc>
        <w:tc>
          <w:tcPr>
            <w:tcW w:w="5220" w:type="dxa"/>
          </w:tcPr>
          <w:p w:rsidR="008D0890" w:rsidRDefault="008D0890" w:rsidP="008D0890">
            <w:pPr>
              <w:jc w:val="both"/>
            </w:pPr>
          </w:p>
          <w:p w:rsidR="008D0890" w:rsidRDefault="008D0890" w:rsidP="008D0890">
            <w:pPr>
              <w:jc w:val="both"/>
            </w:pPr>
            <w:r>
              <w:t xml:space="preserve">Module </w:t>
            </w:r>
            <w:r w:rsidR="00FD1288">
              <w:t>3</w:t>
            </w:r>
            <w:r>
              <w:t xml:space="preserve"> Quiz</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FD1288" w:rsidP="00226295">
            <w:pPr>
              <w:jc w:val="right"/>
            </w:pPr>
            <w:r>
              <w:t>October 2</w:t>
            </w:r>
            <w:r w:rsidR="00226295">
              <w:t>8</w:t>
            </w:r>
          </w:p>
        </w:tc>
        <w:tc>
          <w:tcPr>
            <w:tcW w:w="5220" w:type="dxa"/>
          </w:tcPr>
          <w:p w:rsidR="00FD1288" w:rsidRDefault="00FD1288" w:rsidP="008D0890">
            <w:pPr>
              <w:jc w:val="both"/>
            </w:pPr>
          </w:p>
          <w:p w:rsidR="008D0890" w:rsidRDefault="00FD1288" w:rsidP="008D0890">
            <w:pPr>
              <w:jc w:val="both"/>
            </w:pPr>
            <w:r>
              <w:t>Last Day to Drop with a ‘W’</w:t>
            </w:r>
            <w:r w:rsidR="00226295">
              <w:t xml:space="preserve"> 4:00pm</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846569" w:rsidP="004B499A">
            <w:pPr>
              <w:jc w:val="right"/>
            </w:pPr>
            <w:r>
              <w:t>November 1</w:t>
            </w:r>
            <w:r w:rsidR="004B499A">
              <w:t>8</w:t>
            </w:r>
          </w:p>
        </w:tc>
        <w:tc>
          <w:tcPr>
            <w:tcW w:w="5220" w:type="dxa"/>
          </w:tcPr>
          <w:p w:rsidR="008D0890" w:rsidRDefault="008D0890" w:rsidP="008D0890">
            <w:pPr>
              <w:jc w:val="both"/>
            </w:pPr>
          </w:p>
          <w:p w:rsidR="008D0890" w:rsidRDefault="008D0890" w:rsidP="008D0890">
            <w:pPr>
              <w:jc w:val="both"/>
            </w:pPr>
            <w:r>
              <w:t xml:space="preserve">Module </w:t>
            </w:r>
            <w:r w:rsidR="00846569">
              <w:t>4</w:t>
            </w:r>
            <w:r>
              <w:t xml:space="preserve"> Quiz</w:t>
            </w:r>
          </w:p>
          <w:p w:rsidR="008D0890" w:rsidRDefault="008D0890" w:rsidP="008D0890">
            <w:pPr>
              <w:jc w:val="both"/>
            </w:pPr>
          </w:p>
        </w:tc>
      </w:tr>
      <w:tr w:rsidR="008D0890" w:rsidTr="008D0890">
        <w:tc>
          <w:tcPr>
            <w:tcW w:w="2250" w:type="dxa"/>
          </w:tcPr>
          <w:p w:rsidR="008D0890" w:rsidRDefault="008D0890" w:rsidP="008D0890">
            <w:pPr>
              <w:jc w:val="right"/>
            </w:pPr>
          </w:p>
          <w:p w:rsidR="008D0890" w:rsidRDefault="00846569" w:rsidP="004B499A">
            <w:pPr>
              <w:jc w:val="right"/>
            </w:pPr>
            <w:r>
              <w:t xml:space="preserve">November </w:t>
            </w:r>
            <w:r w:rsidR="004B499A">
              <w:t>25</w:t>
            </w:r>
          </w:p>
        </w:tc>
        <w:tc>
          <w:tcPr>
            <w:tcW w:w="5220" w:type="dxa"/>
          </w:tcPr>
          <w:p w:rsidR="008D0890" w:rsidRDefault="008D0890" w:rsidP="008D0890">
            <w:pPr>
              <w:jc w:val="both"/>
            </w:pPr>
          </w:p>
          <w:p w:rsidR="008D0890" w:rsidRDefault="00846569" w:rsidP="008D0890">
            <w:pPr>
              <w:jc w:val="both"/>
            </w:pPr>
            <w:r>
              <w:t>Case Study</w:t>
            </w:r>
          </w:p>
          <w:p w:rsidR="008D0890" w:rsidRDefault="008D0890" w:rsidP="008D0890">
            <w:pPr>
              <w:jc w:val="both"/>
            </w:pPr>
          </w:p>
        </w:tc>
      </w:tr>
      <w:tr w:rsidR="00846569" w:rsidTr="008D0890">
        <w:tc>
          <w:tcPr>
            <w:tcW w:w="2250" w:type="dxa"/>
            <w:vAlign w:val="center"/>
          </w:tcPr>
          <w:p w:rsidR="00846569" w:rsidRDefault="00846569" w:rsidP="008D0890">
            <w:pPr>
              <w:jc w:val="right"/>
            </w:pPr>
          </w:p>
          <w:p w:rsidR="00846569" w:rsidRDefault="00846569" w:rsidP="008D0890">
            <w:pPr>
              <w:jc w:val="right"/>
            </w:pPr>
            <w:r>
              <w:t xml:space="preserve">November </w:t>
            </w:r>
            <w:r w:rsidR="004B499A">
              <w:t>26</w:t>
            </w:r>
          </w:p>
          <w:p w:rsidR="00846569" w:rsidRDefault="00846569" w:rsidP="008D0890">
            <w:pPr>
              <w:jc w:val="right"/>
            </w:pPr>
          </w:p>
        </w:tc>
        <w:tc>
          <w:tcPr>
            <w:tcW w:w="5220" w:type="dxa"/>
            <w:vAlign w:val="center"/>
          </w:tcPr>
          <w:p w:rsidR="00846569" w:rsidRPr="00846569" w:rsidRDefault="00846569" w:rsidP="008D0890">
            <w:pPr>
              <w:rPr>
                <w:rStyle w:val="Strong"/>
              </w:rPr>
            </w:pPr>
            <w:r w:rsidRPr="00846569">
              <w:rPr>
                <w:rStyle w:val="Strong"/>
              </w:rPr>
              <w:t>Final Exam Opens @ 7:00am</w:t>
            </w:r>
          </w:p>
        </w:tc>
      </w:tr>
      <w:tr w:rsidR="00846569" w:rsidTr="008D0890">
        <w:tc>
          <w:tcPr>
            <w:tcW w:w="2250" w:type="dxa"/>
            <w:vAlign w:val="center"/>
          </w:tcPr>
          <w:p w:rsidR="00846569" w:rsidRDefault="00846569" w:rsidP="008D0890">
            <w:pPr>
              <w:jc w:val="right"/>
            </w:pPr>
          </w:p>
          <w:p w:rsidR="00846569" w:rsidRDefault="00846569" w:rsidP="008D0890">
            <w:pPr>
              <w:jc w:val="right"/>
            </w:pPr>
            <w:r>
              <w:t xml:space="preserve">December </w:t>
            </w:r>
            <w:r w:rsidR="004B499A">
              <w:t>9</w:t>
            </w:r>
          </w:p>
          <w:p w:rsidR="00846569" w:rsidRDefault="00846569" w:rsidP="008D0890">
            <w:pPr>
              <w:jc w:val="right"/>
            </w:pPr>
          </w:p>
        </w:tc>
        <w:tc>
          <w:tcPr>
            <w:tcW w:w="5220" w:type="dxa"/>
            <w:vAlign w:val="center"/>
          </w:tcPr>
          <w:p w:rsidR="00846569" w:rsidRPr="00846569" w:rsidRDefault="00846569" w:rsidP="008D0890">
            <w:pPr>
              <w:rPr>
                <w:rStyle w:val="Strong"/>
              </w:rPr>
            </w:pPr>
            <w:r w:rsidRPr="00846569">
              <w:rPr>
                <w:rStyle w:val="Strong"/>
              </w:rPr>
              <w:t>Final Exam Closes @ 11:59pm</w:t>
            </w:r>
          </w:p>
        </w:tc>
      </w:tr>
    </w:tbl>
    <w:p w:rsidR="008D0890" w:rsidRPr="008D0890" w:rsidRDefault="008D0890" w:rsidP="008D0890"/>
    <w:sectPr w:rsidR="008D0890" w:rsidRPr="008D08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7A" w:rsidRDefault="0025227A" w:rsidP="00EC1200">
      <w:pPr>
        <w:spacing w:line="240" w:lineRule="auto"/>
      </w:pPr>
      <w:r>
        <w:separator/>
      </w:r>
    </w:p>
  </w:endnote>
  <w:endnote w:type="continuationSeparator" w:id="0">
    <w:p w:rsidR="0025227A" w:rsidRDefault="0025227A"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382BFE">
          <w:rPr>
            <w:noProof/>
          </w:rPr>
          <w:t>1</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7A" w:rsidRDefault="0025227A" w:rsidP="00EC1200">
      <w:pPr>
        <w:spacing w:line="240" w:lineRule="auto"/>
      </w:pPr>
      <w:r>
        <w:separator/>
      </w:r>
    </w:p>
  </w:footnote>
  <w:footnote w:type="continuationSeparator" w:id="0">
    <w:p w:rsidR="0025227A" w:rsidRDefault="0025227A" w:rsidP="00EC1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EC1200" w:rsidP="009E1B63">
          <w:pPr>
            <w:pStyle w:val="Header"/>
            <w:tabs>
              <w:tab w:val="clear" w:pos="4680"/>
              <w:tab w:val="clear" w:pos="9360"/>
            </w:tabs>
            <w:jc w:val="right"/>
            <w:rPr>
              <w:color w:val="5B9BD5" w:themeColor="accent1"/>
            </w:rPr>
          </w:pPr>
          <w:r>
            <w:rPr>
              <w:color w:val="5B9BD5" w:themeColor="accent1"/>
              <w:szCs w:val="24"/>
            </w:rPr>
            <w:t>RADS 47</w:t>
          </w:r>
          <w:r w:rsidR="00620FE6">
            <w:rPr>
              <w:color w:val="5B9BD5" w:themeColor="accent1"/>
              <w:szCs w:val="24"/>
            </w:rPr>
            <w:t>5</w:t>
          </w:r>
          <w:r>
            <w:rPr>
              <w:color w:val="5B9BD5" w:themeColor="accent1"/>
              <w:szCs w:val="24"/>
            </w:rPr>
            <w:t xml:space="preserve">3 </w:t>
          </w:r>
          <w:r w:rsidR="00620FE6">
            <w:rPr>
              <w:color w:val="5B9BD5" w:themeColor="accent1"/>
              <w:szCs w:val="24"/>
            </w:rPr>
            <w:t>Fall</w:t>
          </w:r>
          <w:r>
            <w:rPr>
              <w:color w:val="5B9BD5" w:themeColor="accent1"/>
              <w:szCs w:val="24"/>
            </w:rPr>
            <w:t xml:space="preserve"> 201</w:t>
          </w:r>
          <w:r w:rsidR="009E1B63">
            <w:rPr>
              <w:color w:val="5B9BD5" w:themeColor="accent1"/>
              <w:szCs w:val="24"/>
            </w:rPr>
            <w:t>9</w:t>
          </w:r>
        </w:p>
      </w:tc>
    </w:tr>
  </w:tbl>
  <w:p w:rsidR="00EC1200" w:rsidRDefault="00EC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0"/>
    <w:rsid w:val="00032EB1"/>
    <w:rsid w:val="0010310C"/>
    <w:rsid w:val="00121ECE"/>
    <w:rsid w:val="00173745"/>
    <w:rsid w:val="00214575"/>
    <w:rsid w:val="0021531F"/>
    <w:rsid w:val="00226295"/>
    <w:rsid w:val="0025227A"/>
    <w:rsid w:val="00273D4E"/>
    <w:rsid w:val="002F5C18"/>
    <w:rsid w:val="00382BFE"/>
    <w:rsid w:val="003B478C"/>
    <w:rsid w:val="00410304"/>
    <w:rsid w:val="004B499A"/>
    <w:rsid w:val="004D2EBF"/>
    <w:rsid w:val="005602F1"/>
    <w:rsid w:val="005C1F4A"/>
    <w:rsid w:val="00620FE6"/>
    <w:rsid w:val="00682873"/>
    <w:rsid w:val="006B51FC"/>
    <w:rsid w:val="006E7257"/>
    <w:rsid w:val="00726E30"/>
    <w:rsid w:val="0081033C"/>
    <w:rsid w:val="00846569"/>
    <w:rsid w:val="008D0890"/>
    <w:rsid w:val="009A0C5C"/>
    <w:rsid w:val="009E1B63"/>
    <w:rsid w:val="00A2264A"/>
    <w:rsid w:val="00A32C25"/>
    <w:rsid w:val="00A83739"/>
    <w:rsid w:val="00B243F9"/>
    <w:rsid w:val="00C42B84"/>
    <w:rsid w:val="00CD1B04"/>
    <w:rsid w:val="00CD3A5B"/>
    <w:rsid w:val="00D138C4"/>
    <w:rsid w:val="00D64761"/>
    <w:rsid w:val="00D673BD"/>
    <w:rsid w:val="00DB5C31"/>
    <w:rsid w:val="00EC1200"/>
    <w:rsid w:val="00FA2E9F"/>
    <w:rsid w:val="00FD1288"/>
    <w:rsid w:val="00FD2DD6"/>
    <w:rsid w:val="00FE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D859"/>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wynne@msutexa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cademics.mwsu.edu/wpr" TargetMode="External"/><Relationship Id="rId4" Type="http://schemas.openxmlformats.org/officeDocument/2006/relationships/webSettings" Target="webSettings.xml"/><Relationship Id="rId9" Type="http://schemas.openxmlformats.org/officeDocument/2006/relationships/hyperlink" Target="https://mwsu.edu/campus-carry/rule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Wynne, Debra</cp:lastModifiedBy>
  <cp:revision>11</cp:revision>
  <dcterms:created xsi:type="dcterms:W3CDTF">2019-07-15T21:41:00Z</dcterms:created>
  <dcterms:modified xsi:type="dcterms:W3CDTF">2019-07-15T22:02:00Z</dcterms:modified>
</cp:coreProperties>
</file>